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58E61" w14:textId="52B941D1" w:rsidR="008E5F7E" w:rsidRPr="00806A79" w:rsidRDefault="008E5F7E" w:rsidP="000D71B0">
      <w:pPr>
        <w:autoSpaceDE w:val="0"/>
        <w:autoSpaceDN w:val="0"/>
        <w:adjustRightInd w:val="0"/>
        <w:spacing w:after="0" w:line="240" w:lineRule="auto"/>
        <w:jc w:val="center"/>
        <w:rPr>
          <w:rFonts w:ascii="Times New Roman" w:hAnsi="Times New Roman" w:cs="Times New Roman"/>
          <w:sz w:val="24"/>
          <w:szCs w:val="24"/>
        </w:rPr>
      </w:pPr>
      <w:r w:rsidRPr="00806A79">
        <w:rPr>
          <w:rFonts w:ascii="Times New Roman" w:hAnsi="Times New Roman" w:cs="Times New Roman"/>
          <w:b/>
          <w:bCs/>
          <w:sz w:val="24"/>
          <w:szCs w:val="24"/>
        </w:rPr>
        <w:t>Questions for the Record from Senator Sheldon Whitehouse</w:t>
      </w:r>
    </w:p>
    <w:p w14:paraId="72C408F6" w14:textId="281EC4B8" w:rsidR="008E5F7E" w:rsidRPr="00806A79" w:rsidRDefault="008E5F7E" w:rsidP="000D71B0">
      <w:pPr>
        <w:autoSpaceDE w:val="0"/>
        <w:autoSpaceDN w:val="0"/>
        <w:adjustRightInd w:val="0"/>
        <w:spacing w:after="0" w:line="240" w:lineRule="auto"/>
        <w:jc w:val="center"/>
        <w:rPr>
          <w:rFonts w:ascii="Times New Roman" w:hAnsi="Times New Roman" w:cs="Times New Roman"/>
          <w:sz w:val="24"/>
          <w:szCs w:val="24"/>
        </w:rPr>
      </w:pPr>
      <w:r w:rsidRPr="00806A79">
        <w:rPr>
          <w:rFonts w:ascii="Times New Roman" w:hAnsi="Times New Roman" w:cs="Times New Roman"/>
          <w:b/>
          <w:bCs/>
          <w:sz w:val="24"/>
          <w:szCs w:val="24"/>
        </w:rPr>
        <w:t>U.S. Senate Caucus on International Narcotics Control</w:t>
      </w:r>
    </w:p>
    <w:p w14:paraId="6598AA85" w14:textId="3F6D9FDC" w:rsidR="008E5F7E" w:rsidRPr="00806A79" w:rsidRDefault="008E5F7E" w:rsidP="000D71B0">
      <w:pPr>
        <w:autoSpaceDE w:val="0"/>
        <w:autoSpaceDN w:val="0"/>
        <w:adjustRightInd w:val="0"/>
        <w:spacing w:after="0" w:line="240" w:lineRule="auto"/>
        <w:jc w:val="center"/>
        <w:rPr>
          <w:rFonts w:ascii="Times New Roman" w:hAnsi="Times New Roman" w:cs="Times New Roman"/>
          <w:sz w:val="24"/>
          <w:szCs w:val="24"/>
        </w:rPr>
      </w:pPr>
      <w:r w:rsidRPr="00806A79">
        <w:rPr>
          <w:rFonts w:ascii="Times New Roman" w:hAnsi="Times New Roman" w:cs="Times New Roman"/>
          <w:b/>
          <w:bCs/>
          <w:sz w:val="24"/>
          <w:szCs w:val="24"/>
        </w:rPr>
        <w:t>“The Federal Response to the Drug Overdose Epidemic”</w:t>
      </w:r>
    </w:p>
    <w:p w14:paraId="2CD2928D" w14:textId="23135C7B" w:rsidR="008E5F7E" w:rsidRPr="00806A79" w:rsidRDefault="008E5F7E" w:rsidP="000D71B0">
      <w:pPr>
        <w:autoSpaceDE w:val="0"/>
        <w:autoSpaceDN w:val="0"/>
        <w:adjustRightInd w:val="0"/>
        <w:spacing w:after="0" w:line="240" w:lineRule="auto"/>
        <w:jc w:val="center"/>
        <w:rPr>
          <w:rFonts w:ascii="Times New Roman" w:hAnsi="Times New Roman" w:cs="Times New Roman"/>
          <w:b/>
          <w:bCs/>
          <w:sz w:val="24"/>
          <w:szCs w:val="24"/>
        </w:rPr>
      </w:pPr>
      <w:r w:rsidRPr="00806A79">
        <w:rPr>
          <w:rFonts w:ascii="Times New Roman" w:hAnsi="Times New Roman" w:cs="Times New Roman"/>
          <w:b/>
          <w:bCs/>
          <w:sz w:val="24"/>
          <w:szCs w:val="24"/>
        </w:rPr>
        <w:t>Submitted on July 27, 2021</w:t>
      </w:r>
    </w:p>
    <w:p w14:paraId="38CFA4F0" w14:textId="77777777" w:rsidR="008E5F7E" w:rsidRPr="00806A79" w:rsidRDefault="008E5F7E" w:rsidP="000D71B0">
      <w:pPr>
        <w:autoSpaceDE w:val="0"/>
        <w:autoSpaceDN w:val="0"/>
        <w:adjustRightInd w:val="0"/>
        <w:spacing w:after="0" w:line="240" w:lineRule="auto"/>
        <w:jc w:val="center"/>
        <w:rPr>
          <w:rFonts w:ascii="Times New Roman" w:hAnsi="Times New Roman" w:cs="Times New Roman"/>
          <w:sz w:val="24"/>
          <w:szCs w:val="24"/>
        </w:rPr>
      </w:pPr>
    </w:p>
    <w:p w14:paraId="254CE3B8" w14:textId="77777777" w:rsidR="008E5F7E" w:rsidRPr="00806A79" w:rsidRDefault="008E5F7E" w:rsidP="000D71B0">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xml:space="preserve">1. My legislation, the </w:t>
      </w:r>
      <w:r w:rsidRPr="00806A79">
        <w:rPr>
          <w:rFonts w:ascii="Times New Roman" w:hAnsi="Times New Roman" w:cs="Times New Roman"/>
          <w:b/>
          <w:bCs/>
          <w:i/>
          <w:iCs/>
          <w:sz w:val="24"/>
          <w:szCs w:val="24"/>
        </w:rPr>
        <w:t xml:space="preserve">Comprehensive Addiction and Recovery Act </w:t>
      </w:r>
      <w:r w:rsidRPr="00806A79">
        <w:rPr>
          <w:rFonts w:ascii="Times New Roman" w:hAnsi="Times New Roman" w:cs="Times New Roman"/>
          <w:b/>
          <w:bCs/>
          <w:sz w:val="24"/>
          <w:szCs w:val="24"/>
        </w:rPr>
        <w:t xml:space="preserve">(CARA), took significant steps to strengthen the nation’s recovery infrastructure. During the hearing, I asked you what we have learned from CARA’s investments and what needs to be done going forward. </w:t>
      </w:r>
    </w:p>
    <w:p w14:paraId="386BE09A" w14:textId="212E73BA" w:rsidR="008E5F7E" w:rsidRPr="00806A79" w:rsidRDefault="008E5F7E" w:rsidP="000D71B0">
      <w:pPr>
        <w:pStyle w:val="Default"/>
        <w:rPr>
          <w:color w:val="auto"/>
        </w:rPr>
      </w:pPr>
    </w:p>
    <w:p w14:paraId="7750B7EE" w14:textId="6EAD0FDB" w:rsidR="000D71B0" w:rsidRPr="00806A79" w:rsidRDefault="000D71B0" w:rsidP="000D71B0">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xml:space="preserve"> Building on your response, please provide specific examples of how recovery programs have improved since 2016 and the key outcomes they have achieved. </w:t>
      </w:r>
    </w:p>
    <w:p w14:paraId="5B33426E" w14:textId="77777777" w:rsidR="000D71B0" w:rsidRPr="00806A79" w:rsidRDefault="000D71B0" w:rsidP="000D71B0">
      <w:pPr>
        <w:pStyle w:val="Default"/>
        <w:rPr>
          <w:rFonts w:eastAsia="Times New Roman"/>
          <w:color w:val="auto"/>
        </w:rPr>
      </w:pPr>
    </w:p>
    <w:p w14:paraId="1D945176" w14:textId="70618664" w:rsidR="008E5F7E" w:rsidRPr="00806A79" w:rsidRDefault="008E5F7E" w:rsidP="000D71B0">
      <w:pPr>
        <w:pStyle w:val="Default"/>
        <w:ind w:firstLine="720"/>
        <w:rPr>
          <w:rFonts w:eastAsia="Times New Roman"/>
          <w:color w:val="auto"/>
        </w:rPr>
      </w:pPr>
      <w:r w:rsidRPr="00806A79">
        <w:rPr>
          <w:rFonts w:eastAsia="Times New Roman"/>
          <w:color w:val="auto"/>
        </w:rPr>
        <w:t>SAMHSA uses six National Outcome Measures (NOMs) to monitor programming and determine success:</w:t>
      </w:r>
      <w:r w:rsidR="00EF1F6B" w:rsidRPr="00806A79">
        <w:rPr>
          <w:rFonts w:eastAsia="Times New Roman"/>
          <w:color w:val="auto"/>
        </w:rPr>
        <w:t xml:space="preserve"> </w:t>
      </w:r>
      <w:r w:rsidRPr="00806A79">
        <w:rPr>
          <w:rFonts w:eastAsia="Times New Roman"/>
          <w:color w:val="auto"/>
        </w:rPr>
        <w:t>Abstinence, Crime/Criminal Justice, Employment/Education, Health/Behavioral/Social Consequences, Social Connectedness and Stability in Housing. The following are some specific examples of how recovery programs have improved since 2016 and the key outcomes they have achieved.   </w:t>
      </w:r>
    </w:p>
    <w:p w14:paraId="5E05DA5B" w14:textId="77777777" w:rsidR="008E5F7E" w:rsidRPr="00806A79" w:rsidRDefault="008E5F7E" w:rsidP="000D71B0">
      <w:pPr>
        <w:pStyle w:val="Default"/>
        <w:rPr>
          <w:color w:val="auto"/>
        </w:rPr>
      </w:pPr>
    </w:p>
    <w:p w14:paraId="2196C1A2" w14:textId="34623513" w:rsidR="008E5F7E" w:rsidRPr="00806A79" w:rsidRDefault="008E5F7E" w:rsidP="000D71B0">
      <w:pPr>
        <w:pStyle w:val="Default"/>
        <w:ind w:firstLine="720"/>
        <w:rPr>
          <w:color w:val="auto"/>
        </w:rPr>
      </w:pPr>
      <w:r w:rsidRPr="00806A79">
        <w:rPr>
          <w:color w:val="auto"/>
        </w:rPr>
        <w:t xml:space="preserve">From </w:t>
      </w:r>
      <w:r w:rsidR="00B26986">
        <w:rPr>
          <w:color w:val="auto"/>
        </w:rPr>
        <w:t>fiscal year (</w:t>
      </w:r>
      <w:r w:rsidRPr="00806A79">
        <w:rPr>
          <w:color w:val="auto"/>
        </w:rPr>
        <w:t>FY</w:t>
      </w:r>
      <w:r w:rsidR="00B26986">
        <w:rPr>
          <w:color w:val="auto"/>
        </w:rPr>
        <w:t xml:space="preserve">) </w:t>
      </w:r>
      <w:r w:rsidRPr="00806A79">
        <w:rPr>
          <w:color w:val="auto"/>
        </w:rPr>
        <w:t>2016 – 2021 Building Communities of Recovery (BCOR) grantees conducted 267,256 intakes into their programs. The grants demonstrated a positive rate of change from intake to 6-month follow-up in all of the NOMs (see Table</w:t>
      </w:r>
      <w:r w:rsidR="00EF1F6B" w:rsidRPr="00806A79">
        <w:rPr>
          <w:color w:val="auto"/>
        </w:rPr>
        <w:t xml:space="preserve"> </w:t>
      </w:r>
      <w:r w:rsidRPr="00806A79">
        <w:rPr>
          <w:color w:val="auto"/>
        </w:rPr>
        <w:t xml:space="preserve">1 below). Positive outcomes were also achieved in reducing mental health issues, risky behavior and drug use. </w:t>
      </w:r>
    </w:p>
    <w:p w14:paraId="2F8F1EE5" w14:textId="77777777" w:rsidR="008E5F7E" w:rsidRPr="00806A79" w:rsidRDefault="008E5F7E" w:rsidP="000D71B0">
      <w:pPr>
        <w:pStyle w:val="Default"/>
        <w:rPr>
          <w:color w:val="auto"/>
        </w:rPr>
      </w:pPr>
    </w:p>
    <w:p w14:paraId="20A11621" w14:textId="05AEEA55" w:rsidR="008E5F7E" w:rsidRPr="00806A79" w:rsidRDefault="00732ACE" w:rsidP="000D71B0">
      <w:pPr>
        <w:pStyle w:val="Default"/>
        <w:rPr>
          <w:b/>
          <w:bCs/>
          <w:color w:val="auto"/>
        </w:rPr>
      </w:pPr>
      <w:r>
        <w:rPr>
          <w:b/>
          <w:bCs/>
          <w:color w:val="auto"/>
        </w:rPr>
        <w:t xml:space="preserve"> Intakes</w:t>
      </w:r>
    </w:p>
    <w:tbl>
      <w:tblPr>
        <w:tblW w:w="0" w:type="auto"/>
        <w:tblInd w:w="180" w:type="dxa"/>
        <w:tblCellMar>
          <w:left w:w="0" w:type="dxa"/>
          <w:right w:w="0" w:type="dxa"/>
        </w:tblCellMar>
        <w:tblLook w:val="04A0" w:firstRow="1" w:lastRow="0" w:firstColumn="1" w:lastColumn="0" w:noHBand="0" w:noVBand="1"/>
      </w:tblPr>
      <w:tblGrid>
        <w:gridCol w:w="5843"/>
        <w:gridCol w:w="987"/>
        <w:gridCol w:w="1077"/>
        <w:gridCol w:w="1253"/>
      </w:tblGrid>
      <w:tr w:rsidR="008E5F7E" w:rsidRPr="00806A79" w14:paraId="31945F0D" w14:textId="77777777" w:rsidTr="008E5F7E">
        <w:tc>
          <w:tcPr>
            <w:tcW w:w="593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EDAA8C8" w14:textId="77777777" w:rsidR="008E5F7E" w:rsidRPr="00806A79" w:rsidRDefault="008E5F7E" w:rsidP="000D71B0">
            <w:pPr>
              <w:pStyle w:val="Default"/>
              <w:rPr>
                <w:b/>
                <w:bCs/>
                <w:color w:val="auto"/>
              </w:rPr>
            </w:pPr>
            <w:r w:rsidRPr="00806A79">
              <w:rPr>
                <w:b/>
                <w:bCs/>
                <w:color w:val="auto"/>
              </w:rPr>
              <w:t>NOMs</w:t>
            </w:r>
          </w:p>
        </w:tc>
        <w:tc>
          <w:tcPr>
            <w:tcW w:w="99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89F4B9" w14:textId="77777777" w:rsidR="008E5F7E" w:rsidRPr="00806A79" w:rsidRDefault="008E5F7E" w:rsidP="000D71B0">
            <w:pPr>
              <w:pStyle w:val="Default"/>
              <w:rPr>
                <w:b/>
                <w:bCs/>
                <w:color w:val="auto"/>
              </w:rPr>
            </w:pPr>
            <w:r w:rsidRPr="00806A79">
              <w:rPr>
                <w:b/>
                <w:bCs/>
                <w:color w:val="auto"/>
              </w:rPr>
              <w:t>Intake</w:t>
            </w:r>
          </w:p>
        </w:tc>
        <w:tc>
          <w:tcPr>
            <w:tcW w:w="10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7E1E8C" w14:textId="77777777" w:rsidR="008E5F7E" w:rsidRPr="00806A79" w:rsidRDefault="008E5F7E" w:rsidP="000D71B0">
            <w:pPr>
              <w:pStyle w:val="Default"/>
              <w:rPr>
                <w:b/>
                <w:bCs/>
                <w:color w:val="auto"/>
              </w:rPr>
            </w:pPr>
            <w:r w:rsidRPr="00806A79">
              <w:rPr>
                <w:b/>
                <w:bCs/>
                <w:color w:val="auto"/>
              </w:rPr>
              <w:t>Follow-Up</w:t>
            </w:r>
          </w:p>
        </w:tc>
        <w:tc>
          <w:tcPr>
            <w:tcW w:w="12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966A352" w14:textId="77777777" w:rsidR="008E5F7E" w:rsidRPr="00806A79" w:rsidRDefault="008E5F7E" w:rsidP="000D71B0">
            <w:pPr>
              <w:pStyle w:val="Default"/>
              <w:rPr>
                <w:b/>
                <w:bCs/>
                <w:color w:val="auto"/>
              </w:rPr>
            </w:pPr>
            <w:r w:rsidRPr="00806A79">
              <w:rPr>
                <w:b/>
                <w:bCs/>
                <w:color w:val="auto"/>
              </w:rPr>
              <w:t>Rate of Change</w:t>
            </w:r>
          </w:p>
        </w:tc>
      </w:tr>
      <w:tr w:rsidR="008E5F7E" w:rsidRPr="00806A79" w14:paraId="60446368" w14:textId="77777777" w:rsidTr="008E5F7E">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F3C88" w14:textId="77777777" w:rsidR="008E5F7E" w:rsidRPr="00806A79" w:rsidRDefault="008E5F7E" w:rsidP="000D71B0">
            <w:pPr>
              <w:pStyle w:val="Default"/>
              <w:rPr>
                <w:color w:val="auto"/>
              </w:rPr>
            </w:pPr>
            <w:r w:rsidRPr="00806A79">
              <w:rPr>
                <w:color w:val="auto"/>
              </w:rPr>
              <w:t>Abstinence: did not use alcohol or illegal drugs</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791F9D4" w14:textId="77777777" w:rsidR="008E5F7E" w:rsidRPr="00806A79" w:rsidRDefault="008E5F7E" w:rsidP="000D71B0">
            <w:pPr>
              <w:pStyle w:val="Default"/>
              <w:rPr>
                <w:color w:val="auto"/>
              </w:rPr>
            </w:pPr>
            <w:r w:rsidRPr="00806A79">
              <w:rPr>
                <w:color w:val="auto"/>
              </w:rPr>
              <w:t>52.3%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62A44B5" w14:textId="77777777" w:rsidR="008E5F7E" w:rsidRPr="00806A79" w:rsidRDefault="008E5F7E" w:rsidP="000D71B0">
            <w:pPr>
              <w:pStyle w:val="Default"/>
              <w:rPr>
                <w:color w:val="auto"/>
              </w:rPr>
            </w:pPr>
            <w:r w:rsidRPr="00806A79">
              <w:rPr>
                <w:color w:val="auto"/>
              </w:rPr>
              <w:t>68.5%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E9AB5FD" w14:textId="77777777" w:rsidR="008E5F7E" w:rsidRPr="00806A79" w:rsidRDefault="008E5F7E" w:rsidP="000D71B0">
            <w:pPr>
              <w:pStyle w:val="Default"/>
              <w:rPr>
                <w:color w:val="auto"/>
              </w:rPr>
            </w:pPr>
            <w:r w:rsidRPr="00806A79">
              <w:rPr>
                <w:color w:val="auto"/>
              </w:rPr>
              <w:t>31.0%</w:t>
            </w:r>
          </w:p>
        </w:tc>
      </w:tr>
      <w:tr w:rsidR="008E5F7E" w:rsidRPr="00806A79" w14:paraId="6F058D89" w14:textId="77777777" w:rsidTr="008E5F7E">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664F9" w14:textId="77777777" w:rsidR="008E5F7E" w:rsidRPr="00806A79" w:rsidRDefault="008E5F7E" w:rsidP="000D71B0">
            <w:pPr>
              <w:pStyle w:val="Default"/>
              <w:rPr>
                <w:color w:val="auto"/>
              </w:rPr>
            </w:pPr>
            <w:r w:rsidRPr="00806A79">
              <w:rPr>
                <w:color w:val="auto"/>
              </w:rPr>
              <w:t>Crime and Criminal Justice: has no past 30-day arrests</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1C7C7648" w14:textId="77777777" w:rsidR="008E5F7E" w:rsidRPr="00806A79" w:rsidRDefault="008E5F7E" w:rsidP="000D71B0">
            <w:pPr>
              <w:pStyle w:val="Default"/>
              <w:rPr>
                <w:color w:val="auto"/>
              </w:rPr>
            </w:pPr>
            <w:r w:rsidRPr="00806A79">
              <w:rPr>
                <w:color w:val="auto"/>
              </w:rPr>
              <w:t>95.7%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DD2691E" w14:textId="77777777" w:rsidR="008E5F7E" w:rsidRPr="00806A79" w:rsidRDefault="008E5F7E" w:rsidP="000D71B0">
            <w:pPr>
              <w:pStyle w:val="Default"/>
              <w:rPr>
                <w:color w:val="auto"/>
              </w:rPr>
            </w:pPr>
            <w:r w:rsidRPr="00806A79">
              <w:rPr>
                <w:color w:val="auto"/>
              </w:rPr>
              <w:t>98.1%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C17903F" w14:textId="77777777" w:rsidR="008E5F7E" w:rsidRPr="00806A79" w:rsidRDefault="008E5F7E" w:rsidP="000D71B0">
            <w:pPr>
              <w:pStyle w:val="Default"/>
              <w:rPr>
                <w:color w:val="auto"/>
              </w:rPr>
            </w:pPr>
            <w:r w:rsidRPr="00806A79">
              <w:rPr>
                <w:color w:val="auto"/>
              </w:rPr>
              <w:t>2.5%</w:t>
            </w:r>
          </w:p>
        </w:tc>
      </w:tr>
      <w:tr w:rsidR="008E5F7E" w:rsidRPr="00806A79" w14:paraId="67E36C12" w14:textId="77777777" w:rsidTr="008E5F7E">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3BA01" w14:textId="5BA42267" w:rsidR="008E5F7E" w:rsidRPr="00806A79" w:rsidRDefault="008E5F7E" w:rsidP="000D71B0">
            <w:pPr>
              <w:pStyle w:val="Default"/>
              <w:rPr>
                <w:color w:val="auto"/>
              </w:rPr>
            </w:pPr>
            <w:r w:rsidRPr="00806A79">
              <w:rPr>
                <w:color w:val="auto"/>
              </w:rPr>
              <w:t>Employment/</w:t>
            </w:r>
            <w:r w:rsidR="00207780" w:rsidRPr="00806A79">
              <w:rPr>
                <w:color w:val="auto"/>
              </w:rPr>
              <w:t>Education</w:t>
            </w:r>
            <w:r w:rsidRPr="00806A79">
              <w:rPr>
                <w:color w:val="auto"/>
              </w:rPr>
              <w:t xml:space="preserve"> were currently employed or attending school</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66D38E4E" w14:textId="77777777" w:rsidR="008E5F7E" w:rsidRPr="00806A79" w:rsidRDefault="008E5F7E" w:rsidP="000D71B0">
            <w:pPr>
              <w:pStyle w:val="Default"/>
              <w:rPr>
                <w:color w:val="auto"/>
              </w:rPr>
            </w:pPr>
            <w:r w:rsidRPr="00806A79">
              <w:rPr>
                <w:color w:val="auto"/>
              </w:rPr>
              <w:t>35.8%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072D49" w14:textId="77777777" w:rsidR="008E5F7E" w:rsidRPr="00806A79" w:rsidRDefault="008E5F7E" w:rsidP="000D71B0">
            <w:pPr>
              <w:pStyle w:val="Default"/>
              <w:rPr>
                <w:color w:val="auto"/>
              </w:rPr>
            </w:pPr>
            <w:r w:rsidRPr="00806A79">
              <w:rPr>
                <w:color w:val="auto"/>
              </w:rPr>
              <w:t>49.7%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7613962" w14:textId="77777777" w:rsidR="008E5F7E" w:rsidRPr="00806A79" w:rsidRDefault="008E5F7E" w:rsidP="000D71B0">
            <w:pPr>
              <w:pStyle w:val="Default"/>
              <w:rPr>
                <w:color w:val="auto"/>
              </w:rPr>
            </w:pPr>
            <w:r w:rsidRPr="00806A79">
              <w:rPr>
                <w:color w:val="auto"/>
              </w:rPr>
              <w:t>38.9%</w:t>
            </w:r>
          </w:p>
        </w:tc>
      </w:tr>
      <w:tr w:rsidR="008E5F7E" w:rsidRPr="00806A79" w14:paraId="3CD22659" w14:textId="77777777" w:rsidTr="008E5F7E">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AE803" w14:textId="55C2D984" w:rsidR="008E5F7E" w:rsidRPr="00806A79" w:rsidRDefault="008E5F7E" w:rsidP="000D71B0">
            <w:pPr>
              <w:pStyle w:val="Default"/>
              <w:rPr>
                <w:color w:val="auto"/>
              </w:rPr>
            </w:pPr>
            <w:r w:rsidRPr="00806A79">
              <w:t>Health/Behavioral/Social Consequences: experienced no alcohol or</w:t>
            </w:r>
            <w:r w:rsidR="007A0B81">
              <w:rPr>
                <w:color w:val="auto"/>
              </w:rPr>
              <w:t xml:space="preserve"> </w:t>
            </w:r>
            <w:r w:rsidRPr="00806A79">
              <w:rPr>
                <w:color w:val="auto"/>
              </w:rPr>
              <w:t>drug related health, behavioral, or social consequences</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0213874C" w14:textId="77777777" w:rsidR="008E5F7E" w:rsidRPr="00806A79" w:rsidRDefault="008E5F7E" w:rsidP="000D71B0">
            <w:pPr>
              <w:pStyle w:val="Default"/>
              <w:rPr>
                <w:color w:val="auto"/>
              </w:rPr>
            </w:pPr>
            <w:r w:rsidRPr="00806A79">
              <w:rPr>
                <w:color w:val="auto"/>
              </w:rPr>
              <w:t>71.0%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23A17AC" w14:textId="77777777" w:rsidR="008E5F7E" w:rsidRPr="00806A79" w:rsidRDefault="008E5F7E" w:rsidP="000D71B0">
            <w:pPr>
              <w:pStyle w:val="Default"/>
              <w:rPr>
                <w:color w:val="auto"/>
              </w:rPr>
            </w:pPr>
            <w:r w:rsidRPr="00806A79">
              <w:rPr>
                <w:color w:val="auto"/>
              </w:rPr>
              <w:t>85.7%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9AAE9A4" w14:textId="77777777" w:rsidR="008E5F7E" w:rsidRPr="00806A79" w:rsidRDefault="008E5F7E" w:rsidP="000D71B0">
            <w:pPr>
              <w:pStyle w:val="Default"/>
              <w:rPr>
                <w:color w:val="auto"/>
              </w:rPr>
            </w:pPr>
            <w:r w:rsidRPr="00806A79">
              <w:rPr>
                <w:color w:val="auto"/>
              </w:rPr>
              <w:t>20.6%</w:t>
            </w:r>
          </w:p>
        </w:tc>
      </w:tr>
      <w:tr w:rsidR="008E5F7E" w:rsidRPr="00806A79" w14:paraId="5B591B2D" w14:textId="77777777" w:rsidTr="008E5F7E">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60224" w14:textId="77777777" w:rsidR="008E5F7E" w:rsidRPr="00806A79" w:rsidRDefault="008E5F7E" w:rsidP="000D71B0">
            <w:pPr>
              <w:pStyle w:val="Default"/>
              <w:rPr>
                <w:color w:val="auto"/>
              </w:rPr>
            </w:pPr>
            <w:r w:rsidRPr="00806A79">
              <w:rPr>
                <w:color w:val="auto"/>
              </w:rPr>
              <w:t>Social Connectedness: were socially connected</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185D08CE" w14:textId="77777777" w:rsidR="008E5F7E" w:rsidRPr="00806A79" w:rsidRDefault="008E5F7E" w:rsidP="000D71B0">
            <w:pPr>
              <w:pStyle w:val="Default"/>
              <w:rPr>
                <w:color w:val="auto"/>
              </w:rPr>
            </w:pPr>
            <w:r w:rsidRPr="00806A79">
              <w:rPr>
                <w:color w:val="auto"/>
              </w:rPr>
              <w:t>80.2%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42785A0" w14:textId="77777777" w:rsidR="008E5F7E" w:rsidRPr="00806A79" w:rsidRDefault="008E5F7E" w:rsidP="000D71B0">
            <w:pPr>
              <w:pStyle w:val="Default"/>
              <w:rPr>
                <w:color w:val="auto"/>
              </w:rPr>
            </w:pPr>
            <w:r w:rsidRPr="00806A79">
              <w:rPr>
                <w:color w:val="auto"/>
              </w:rPr>
              <w:t>86.5%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B3E2D35" w14:textId="77777777" w:rsidR="008E5F7E" w:rsidRPr="00806A79" w:rsidRDefault="008E5F7E" w:rsidP="000D71B0">
            <w:pPr>
              <w:pStyle w:val="Default"/>
              <w:rPr>
                <w:color w:val="auto"/>
              </w:rPr>
            </w:pPr>
            <w:r w:rsidRPr="00806A79">
              <w:rPr>
                <w:color w:val="auto"/>
              </w:rPr>
              <w:t>7.8%</w:t>
            </w:r>
          </w:p>
        </w:tc>
      </w:tr>
      <w:tr w:rsidR="008E5F7E" w:rsidRPr="00806A79" w14:paraId="5E2AF0DB" w14:textId="77777777" w:rsidTr="008E5F7E">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DC9" w14:textId="26A78717" w:rsidR="008E5F7E" w:rsidRPr="00806A79" w:rsidRDefault="008E5F7E" w:rsidP="000D71B0">
            <w:pPr>
              <w:pStyle w:val="Default"/>
              <w:rPr>
                <w:color w:val="auto"/>
              </w:rPr>
            </w:pPr>
            <w:r w:rsidRPr="00806A79">
              <w:rPr>
                <w:color w:val="auto"/>
              </w:rPr>
              <w:t xml:space="preserve">Stability in </w:t>
            </w:r>
            <w:r w:rsidR="00207780" w:rsidRPr="00806A79">
              <w:rPr>
                <w:color w:val="auto"/>
              </w:rPr>
              <w:t>Housing</w:t>
            </w:r>
            <w:r w:rsidRPr="00806A79">
              <w:rPr>
                <w:color w:val="auto"/>
              </w:rPr>
              <w:t xml:space="preserve"> had a permanent place to live in the community</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01A462BC" w14:textId="77777777" w:rsidR="008E5F7E" w:rsidRPr="00806A79" w:rsidRDefault="008E5F7E" w:rsidP="000D71B0">
            <w:pPr>
              <w:pStyle w:val="Default"/>
              <w:rPr>
                <w:color w:val="auto"/>
              </w:rPr>
            </w:pPr>
            <w:r w:rsidRPr="00806A79">
              <w:rPr>
                <w:color w:val="auto"/>
              </w:rPr>
              <w:t>46.7%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6C67F1" w14:textId="77777777" w:rsidR="008E5F7E" w:rsidRPr="00806A79" w:rsidRDefault="008E5F7E" w:rsidP="000D71B0">
            <w:pPr>
              <w:pStyle w:val="Default"/>
              <w:rPr>
                <w:color w:val="auto"/>
              </w:rPr>
            </w:pPr>
            <w:r w:rsidRPr="00806A79">
              <w:rPr>
                <w:color w:val="auto"/>
              </w:rPr>
              <w:t>54.4%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BDC5162" w14:textId="77777777" w:rsidR="008E5F7E" w:rsidRPr="00806A79" w:rsidRDefault="008E5F7E" w:rsidP="000D71B0">
            <w:pPr>
              <w:pStyle w:val="Default"/>
              <w:rPr>
                <w:color w:val="auto"/>
              </w:rPr>
            </w:pPr>
            <w:r w:rsidRPr="00806A79">
              <w:rPr>
                <w:color w:val="auto"/>
              </w:rPr>
              <w:t>16.5%</w:t>
            </w:r>
          </w:p>
        </w:tc>
      </w:tr>
    </w:tbl>
    <w:p w14:paraId="3066F865" w14:textId="77777777" w:rsidR="008E5F7E" w:rsidRPr="00806A79" w:rsidRDefault="008E5F7E" w:rsidP="000D71B0">
      <w:pPr>
        <w:pStyle w:val="Default"/>
        <w:rPr>
          <w:color w:val="auto"/>
        </w:rPr>
      </w:pPr>
    </w:p>
    <w:p w14:paraId="11C71004" w14:textId="78B32B28" w:rsidR="008E5F7E" w:rsidRPr="00806A79" w:rsidRDefault="00773256" w:rsidP="000D71B0">
      <w:pPr>
        <w:pStyle w:val="Default"/>
        <w:ind w:firstLine="545"/>
        <w:rPr>
          <w:color w:val="auto"/>
        </w:rPr>
      </w:pPr>
      <w:r>
        <w:rPr>
          <w:color w:val="auto"/>
        </w:rPr>
        <w:t xml:space="preserve">The </w:t>
      </w:r>
      <w:r w:rsidR="008E5F7E" w:rsidRPr="00806A79">
        <w:rPr>
          <w:color w:val="auto"/>
        </w:rPr>
        <w:t>Missouri Coalition of Recovery Support Providers reported positive outcomes in the Access to Recovery Program</w:t>
      </w:r>
      <w:r w:rsidR="000E558B" w:rsidRPr="00806A79">
        <w:rPr>
          <w:color w:val="auto"/>
        </w:rPr>
        <w:t xml:space="preserve"> from FY</w:t>
      </w:r>
      <w:r w:rsidR="007347F6">
        <w:rPr>
          <w:color w:val="auto"/>
        </w:rPr>
        <w:t xml:space="preserve"> </w:t>
      </w:r>
      <w:r w:rsidR="000E558B" w:rsidRPr="00806A79">
        <w:rPr>
          <w:color w:val="auto"/>
        </w:rPr>
        <w:t>2016</w:t>
      </w:r>
      <w:r w:rsidR="00E303EC">
        <w:rPr>
          <w:color w:val="auto"/>
        </w:rPr>
        <w:t xml:space="preserve"> to FY </w:t>
      </w:r>
      <w:r w:rsidR="000E558B" w:rsidRPr="00806A79">
        <w:rPr>
          <w:color w:val="auto"/>
        </w:rPr>
        <w:t>2021</w:t>
      </w:r>
      <w:r w:rsidR="008E5F7E" w:rsidRPr="00806A79">
        <w:rPr>
          <w:color w:val="auto"/>
        </w:rPr>
        <w:t xml:space="preserve">. Based on a 6-month follow-up assessment: </w:t>
      </w:r>
      <w:r w:rsidR="008E5F7E" w:rsidRPr="00806A79">
        <w:t>98</w:t>
      </w:r>
      <w:r w:rsidR="007347F6">
        <w:t xml:space="preserve"> percent</w:t>
      </w:r>
      <w:r w:rsidR="007347F6" w:rsidRPr="00806A79">
        <w:t xml:space="preserve"> </w:t>
      </w:r>
      <w:r w:rsidR="008E5F7E" w:rsidRPr="00806A79">
        <w:t xml:space="preserve">of clients </w:t>
      </w:r>
      <w:r w:rsidR="007A0B81" w:rsidRPr="00806A79">
        <w:t>ha</w:t>
      </w:r>
      <w:r w:rsidR="007A0B81">
        <w:t>d</w:t>
      </w:r>
      <w:r w:rsidR="007A0B81" w:rsidRPr="00806A79">
        <w:t xml:space="preserve"> </w:t>
      </w:r>
      <w:r w:rsidR="008E5F7E" w:rsidRPr="00806A79">
        <w:t>not had any new arrests</w:t>
      </w:r>
      <w:r w:rsidR="000D71B0" w:rsidRPr="00806A79">
        <w:t xml:space="preserve">, </w:t>
      </w:r>
      <w:r w:rsidR="008E5F7E" w:rsidRPr="00806A79">
        <w:t>94</w:t>
      </w:r>
      <w:r w:rsidR="007347F6">
        <w:t xml:space="preserve"> percent</w:t>
      </w:r>
      <w:r w:rsidR="007347F6" w:rsidRPr="00806A79">
        <w:t xml:space="preserve"> </w:t>
      </w:r>
      <w:r w:rsidR="007A0B81" w:rsidRPr="00806A79">
        <w:t>ha</w:t>
      </w:r>
      <w:r w:rsidR="007A0B81">
        <w:t>d</w:t>
      </w:r>
      <w:r w:rsidR="007A0B81" w:rsidRPr="00806A79">
        <w:t xml:space="preserve"> </w:t>
      </w:r>
      <w:r w:rsidR="008E5F7E" w:rsidRPr="00806A79">
        <w:t>had no additional consequences from drug and alcohol use</w:t>
      </w:r>
      <w:r w:rsidR="000D71B0" w:rsidRPr="00806A79">
        <w:t xml:space="preserve">, </w:t>
      </w:r>
      <w:r w:rsidR="008E5F7E" w:rsidRPr="00806A79">
        <w:t>91</w:t>
      </w:r>
      <w:r w:rsidR="007347F6">
        <w:t xml:space="preserve"> percent</w:t>
      </w:r>
      <w:r w:rsidR="007347F6" w:rsidRPr="00806A79">
        <w:t xml:space="preserve"> </w:t>
      </w:r>
      <w:r w:rsidR="008E5F7E" w:rsidRPr="00806A79">
        <w:t>demonstrate</w:t>
      </w:r>
      <w:r w:rsidR="007A0B81">
        <w:t>d</w:t>
      </w:r>
      <w:r w:rsidR="008E5F7E" w:rsidRPr="00806A79">
        <w:t xml:space="preserve"> greater pro-social connectivity</w:t>
      </w:r>
      <w:r w:rsidR="000D71B0" w:rsidRPr="00806A79">
        <w:t xml:space="preserve">, </w:t>
      </w:r>
      <w:r w:rsidR="008E5F7E" w:rsidRPr="00806A79">
        <w:t>90</w:t>
      </w:r>
      <w:r w:rsidR="007347F6">
        <w:t xml:space="preserve"> percent</w:t>
      </w:r>
      <w:r w:rsidR="008E5F7E" w:rsidRPr="00806A79">
        <w:t xml:space="preserve"> </w:t>
      </w:r>
      <w:r w:rsidR="007A0B81">
        <w:t>we</w:t>
      </w:r>
      <w:r w:rsidR="007A0B81" w:rsidRPr="00806A79">
        <w:t xml:space="preserve">re </w:t>
      </w:r>
      <w:r w:rsidR="008E5F7E" w:rsidRPr="00806A79">
        <w:t>in stable housing</w:t>
      </w:r>
      <w:r w:rsidR="000D71B0" w:rsidRPr="00806A79">
        <w:t xml:space="preserve">, </w:t>
      </w:r>
      <w:r w:rsidR="008E5F7E" w:rsidRPr="00806A79">
        <w:t>88</w:t>
      </w:r>
      <w:r w:rsidR="007347F6">
        <w:t xml:space="preserve"> percent</w:t>
      </w:r>
      <w:r w:rsidR="007347F6" w:rsidRPr="00806A79">
        <w:t xml:space="preserve"> </w:t>
      </w:r>
      <w:r w:rsidR="007A0B81">
        <w:t>we</w:t>
      </w:r>
      <w:r w:rsidR="007A0B81" w:rsidRPr="00806A79">
        <w:t xml:space="preserve">re </w:t>
      </w:r>
      <w:r w:rsidR="008E5F7E" w:rsidRPr="00806A79">
        <w:t>abstinent from alcohol and illicit drugs</w:t>
      </w:r>
      <w:r w:rsidR="00F86D44" w:rsidRPr="00806A79">
        <w:t>,</w:t>
      </w:r>
      <w:r w:rsidR="000D71B0" w:rsidRPr="00806A79">
        <w:t xml:space="preserve"> and </w:t>
      </w:r>
      <w:r w:rsidR="008E5F7E" w:rsidRPr="00806A79">
        <w:t>63</w:t>
      </w:r>
      <w:r w:rsidR="007347F6">
        <w:t xml:space="preserve"> percent</w:t>
      </w:r>
      <w:r w:rsidR="007347F6" w:rsidRPr="00806A79">
        <w:t xml:space="preserve"> </w:t>
      </w:r>
      <w:r w:rsidR="007A0B81">
        <w:t>we</w:t>
      </w:r>
      <w:r w:rsidR="007A0B81" w:rsidRPr="00806A79">
        <w:t xml:space="preserve">re </w:t>
      </w:r>
      <w:r w:rsidR="008E5F7E" w:rsidRPr="00806A79">
        <w:t>employed</w:t>
      </w:r>
      <w:r w:rsidR="000D71B0" w:rsidRPr="00806A79">
        <w:t>.</w:t>
      </w:r>
    </w:p>
    <w:p w14:paraId="1CBE3356" w14:textId="77777777" w:rsidR="008E5F7E" w:rsidRPr="00806A79" w:rsidRDefault="008E5F7E" w:rsidP="000D71B0">
      <w:pPr>
        <w:spacing w:after="0" w:line="240" w:lineRule="auto"/>
        <w:ind w:right="1037"/>
        <w:jc w:val="both"/>
        <w:rPr>
          <w:rFonts w:ascii="Times New Roman" w:hAnsi="Times New Roman" w:cs="Times New Roman"/>
          <w:sz w:val="24"/>
          <w:szCs w:val="24"/>
        </w:rPr>
      </w:pPr>
    </w:p>
    <w:p w14:paraId="277C29C6" w14:textId="7124553C" w:rsidR="00862D3C" w:rsidRDefault="00862D3C" w:rsidP="00862D3C">
      <w:pPr>
        <w:autoSpaceDE w:val="0"/>
        <w:autoSpaceDN w:val="0"/>
        <w:spacing w:after="0" w:line="240" w:lineRule="auto"/>
        <w:ind w:firstLine="540"/>
        <w:rPr>
          <w:rFonts w:ascii="Times New Roman" w:hAnsi="Times New Roman" w:cs="Times New Roman"/>
          <w:sz w:val="24"/>
          <w:szCs w:val="24"/>
        </w:rPr>
      </w:pPr>
      <w:r w:rsidRPr="00862D3C">
        <w:rPr>
          <w:rFonts w:ascii="Times New Roman" w:hAnsi="Times New Roman" w:cs="Times New Roman"/>
          <w:sz w:val="24"/>
          <w:szCs w:val="24"/>
        </w:rPr>
        <w:t xml:space="preserve">A </w:t>
      </w:r>
      <w:r w:rsidR="00B26986" w:rsidRPr="00B26986">
        <w:rPr>
          <w:rFonts w:ascii="Times New Roman" w:hAnsi="Times New Roman" w:cs="Times New Roman"/>
          <w:sz w:val="24"/>
          <w:szCs w:val="24"/>
        </w:rPr>
        <w:t xml:space="preserve">Medication Assisted Treatment – Prescription Drug and Opioid Addiction </w:t>
      </w:r>
      <w:r w:rsidR="00263FB6">
        <w:rPr>
          <w:rFonts w:ascii="Times New Roman" w:hAnsi="Times New Roman" w:cs="Times New Roman"/>
          <w:sz w:val="24"/>
          <w:szCs w:val="24"/>
        </w:rPr>
        <w:t xml:space="preserve">program </w:t>
      </w:r>
      <w:r w:rsidRPr="00862D3C">
        <w:rPr>
          <w:rFonts w:ascii="Times New Roman" w:hAnsi="Times New Roman" w:cs="Times New Roman"/>
          <w:sz w:val="24"/>
          <w:szCs w:val="24"/>
        </w:rPr>
        <w:t xml:space="preserve">grantee, Opioid Peer Emergency Navigation to Accessing Comprehensive Care and Engaging </w:t>
      </w:r>
      <w:r w:rsidRPr="00862D3C">
        <w:rPr>
          <w:rFonts w:ascii="Times New Roman" w:hAnsi="Times New Roman" w:cs="Times New Roman"/>
          <w:sz w:val="24"/>
          <w:szCs w:val="24"/>
        </w:rPr>
        <w:lastRenderedPageBreak/>
        <w:t xml:space="preserve">Specialized Services (OPEN ACCESS) </w:t>
      </w:r>
      <w:r w:rsidR="00263FB6">
        <w:rPr>
          <w:rFonts w:ascii="Times New Roman" w:hAnsi="Times New Roman" w:cs="Times New Roman"/>
          <w:sz w:val="24"/>
          <w:szCs w:val="24"/>
        </w:rPr>
        <w:t xml:space="preserve">at Rutgers University, </w:t>
      </w:r>
      <w:r w:rsidRPr="00862D3C">
        <w:rPr>
          <w:rFonts w:ascii="Times New Roman" w:hAnsi="Times New Roman" w:cs="Times New Roman"/>
          <w:sz w:val="24"/>
          <w:szCs w:val="24"/>
        </w:rPr>
        <w:t xml:space="preserve">reported since the initiation of the Peer/Navigators Specialists program, there has been a significant increase in the use </w:t>
      </w:r>
      <w:r w:rsidR="00330C77">
        <w:rPr>
          <w:rFonts w:ascii="Times New Roman" w:hAnsi="Times New Roman" w:cs="Times New Roman"/>
          <w:sz w:val="24"/>
          <w:szCs w:val="24"/>
        </w:rPr>
        <w:t xml:space="preserve">of </w:t>
      </w:r>
      <w:r w:rsidRPr="00862D3C">
        <w:rPr>
          <w:rFonts w:ascii="Times New Roman" w:hAnsi="Times New Roman" w:cs="Times New Roman"/>
          <w:sz w:val="24"/>
          <w:szCs w:val="24"/>
        </w:rPr>
        <w:t xml:space="preserve">buprenorphine to treat patients with </w:t>
      </w:r>
      <w:r w:rsidR="00B26986">
        <w:rPr>
          <w:rFonts w:ascii="Times New Roman" w:hAnsi="Times New Roman" w:cs="Times New Roman"/>
          <w:sz w:val="24"/>
          <w:szCs w:val="24"/>
        </w:rPr>
        <w:t>opioid use disorder (</w:t>
      </w:r>
      <w:r w:rsidRPr="00862D3C">
        <w:rPr>
          <w:rFonts w:ascii="Times New Roman" w:hAnsi="Times New Roman" w:cs="Times New Roman"/>
          <w:sz w:val="24"/>
          <w:szCs w:val="24"/>
        </w:rPr>
        <w:t>OUD</w:t>
      </w:r>
      <w:r w:rsidR="00B26986">
        <w:rPr>
          <w:rFonts w:ascii="Times New Roman" w:hAnsi="Times New Roman" w:cs="Times New Roman"/>
          <w:sz w:val="24"/>
          <w:szCs w:val="24"/>
        </w:rPr>
        <w:t>)</w:t>
      </w:r>
      <w:r w:rsidRPr="00862D3C">
        <w:rPr>
          <w:rFonts w:ascii="Times New Roman" w:hAnsi="Times New Roman" w:cs="Times New Roman"/>
          <w:sz w:val="24"/>
          <w:szCs w:val="24"/>
        </w:rPr>
        <w:t xml:space="preserve">. During the Pandemic, the grant recipient noticed a sudden decrease in administration of buprenorphine, possibly due to patient fear of contracting COVID-19 by coming to the </w:t>
      </w:r>
      <w:r w:rsidR="00B26986">
        <w:rPr>
          <w:rFonts w:ascii="Times New Roman" w:hAnsi="Times New Roman" w:cs="Times New Roman"/>
          <w:sz w:val="24"/>
          <w:szCs w:val="24"/>
        </w:rPr>
        <w:t>emergency department</w:t>
      </w:r>
      <w:r w:rsidRPr="00862D3C">
        <w:rPr>
          <w:rFonts w:ascii="Times New Roman" w:hAnsi="Times New Roman" w:cs="Times New Roman"/>
          <w:sz w:val="24"/>
          <w:szCs w:val="24"/>
        </w:rPr>
        <w:t>; however, Peer Specialists helped to allay fears. Positive outcomes include 109</w:t>
      </w:r>
      <w:r w:rsidR="00B26986">
        <w:rPr>
          <w:rFonts w:ascii="Times New Roman" w:hAnsi="Times New Roman" w:cs="Times New Roman"/>
          <w:sz w:val="24"/>
          <w:szCs w:val="24"/>
        </w:rPr>
        <w:t xml:space="preserve"> percent</w:t>
      </w:r>
      <w:r w:rsidRPr="00862D3C">
        <w:rPr>
          <w:rFonts w:ascii="Times New Roman" w:hAnsi="Times New Roman" w:cs="Times New Roman"/>
          <w:sz w:val="24"/>
          <w:szCs w:val="24"/>
        </w:rPr>
        <w:t xml:space="preserve"> increase in abstinence, 5.1</w:t>
      </w:r>
      <w:r w:rsidR="00B26986">
        <w:rPr>
          <w:rFonts w:ascii="Times New Roman" w:hAnsi="Times New Roman" w:cs="Times New Roman"/>
          <w:sz w:val="24"/>
          <w:szCs w:val="24"/>
        </w:rPr>
        <w:t xml:space="preserve"> percent</w:t>
      </w:r>
      <w:r w:rsidRPr="00862D3C">
        <w:rPr>
          <w:rFonts w:ascii="Times New Roman" w:hAnsi="Times New Roman" w:cs="Times New Roman"/>
          <w:sz w:val="24"/>
          <w:szCs w:val="24"/>
        </w:rPr>
        <w:t xml:space="preserve"> decrease in crime/criminal justice activity and 88.9</w:t>
      </w:r>
      <w:r w:rsidR="00B26986">
        <w:rPr>
          <w:rFonts w:ascii="Times New Roman" w:hAnsi="Times New Roman" w:cs="Times New Roman"/>
          <w:sz w:val="24"/>
          <w:szCs w:val="24"/>
        </w:rPr>
        <w:t xml:space="preserve"> percent</w:t>
      </w:r>
      <w:r w:rsidRPr="00862D3C">
        <w:rPr>
          <w:rFonts w:ascii="Times New Roman" w:hAnsi="Times New Roman" w:cs="Times New Roman"/>
          <w:sz w:val="24"/>
          <w:szCs w:val="24"/>
        </w:rPr>
        <w:t xml:space="preserve"> decrease in alcohol or illegal drug related health, behavioral, </w:t>
      </w:r>
      <w:r w:rsidR="00330C77">
        <w:rPr>
          <w:rFonts w:ascii="Times New Roman" w:hAnsi="Times New Roman" w:cs="Times New Roman"/>
          <w:sz w:val="24"/>
          <w:szCs w:val="24"/>
        </w:rPr>
        <w:t xml:space="preserve">and </w:t>
      </w:r>
      <w:r w:rsidRPr="00862D3C">
        <w:rPr>
          <w:rFonts w:ascii="Times New Roman" w:hAnsi="Times New Roman" w:cs="Times New Roman"/>
          <w:sz w:val="24"/>
          <w:szCs w:val="24"/>
        </w:rPr>
        <w:t>social consequences.</w:t>
      </w:r>
    </w:p>
    <w:p w14:paraId="2DA4290B" w14:textId="77777777" w:rsidR="00CF79D5" w:rsidRPr="00862D3C" w:rsidRDefault="00CF79D5" w:rsidP="00862D3C">
      <w:pPr>
        <w:autoSpaceDE w:val="0"/>
        <w:autoSpaceDN w:val="0"/>
        <w:spacing w:after="0" w:line="240" w:lineRule="auto"/>
        <w:ind w:firstLine="540"/>
        <w:rPr>
          <w:rFonts w:ascii="Times New Roman" w:hAnsi="Times New Roman" w:cs="Times New Roman"/>
          <w:sz w:val="24"/>
          <w:szCs w:val="24"/>
        </w:rPr>
      </w:pPr>
    </w:p>
    <w:p w14:paraId="357CE54B" w14:textId="4625F907" w:rsidR="00C175F2" w:rsidRDefault="008E5F7E" w:rsidP="00B6565E">
      <w:pPr>
        <w:autoSpaceDE w:val="0"/>
        <w:autoSpaceDN w:val="0"/>
        <w:spacing w:after="0" w:line="240" w:lineRule="auto"/>
        <w:ind w:firstLine="540"/>
        <w:rPr>
          <w:rFonts w:ascii="Times New Roman" w:hAnsi="Times New Roman" w:cs="Times New Roman"/>
          <w:sz w:val="24"/>
          <w:szCs w:val="24"/>
        </w:rPr>
      </w:pPr>
      <w:r w:rsidRPr="00806A79">
        <w:rPr>
          <w:rFonts w:ascii="Times New Roman" w:hAnsi="Times New Roman" w:cs="Times New Roman"/>
          <w:sz w:val="24"/>
          <w:szCs w:val="24"/>
        </w:rPr>
        <w:t xml:space="preserve">The Collegiate Recovery Programs (CRP)/Collegiate Recovery Communities (CRC) </w:t>
      </w:r>
      <w:r w:rsidR="00FF4237">
        <w:rPr>
          <w:rFonts w:ascii="Times New Roman" w:hAnsi="Times New Roman" w:cs="Times New Roman"/>
          <w:sz w:val="24"/>
          <w:szCs w:val="24"/>
        </w:rPr>
        <w:t>are</w:t>
      </w:r>
      <w:r w:rsidR="00FF4237" w:rsidRPr="00806A79">
        <w:rPr>
          <w:rFonts w:ascii="Times New Roman" w:hAnsi="Times New Roman" w:cs="Times New Roman"/>
          <w:sz w:val="24"/>
          <w:szCs w:val="24"/>
        </w:rPr>
        <w:t xml:space="preserve"> </w:t>
      </w:r>
      <w:r w:rsidRPr="00806A79">
        <w:rPr>
          <w:rFonts w:ascii="Times New Roman" w:hAnsi="Times New Roman" w:cs="Times New Roman"/>
          <w:sz w:val="24"/>
          <w:szCs w:val="24"/>
        </w:rPr>
        <w:t xml:space="preserve">another example of a successful </w:t>
      </w:r>
      <w:r w:rsidR="00FF4237">
        <w:rPr>
          <w:rFonts w:ascii="Times New Roman" w:hAnsi="Times New Roman" w:cs="Times New Roman"/>
          <w:sz w:val="24"/>
          <w:szCs w:val="24"/>
        </w:rPr>
        <w:t xml:space="preserve">approach to </w:t>
      </w:r>
      <w:r w:rsidRPr="00806A79">
        <w:rPr>
          <w:rFonts w:ascii="Times New Roman" w:hAnsi="Times New Roman" w:cs="Times New Roman"/>
          <w:sz w:val="24"/>
          <w:szCs w:val="24"/>
        </w:rPr>
        <w:t xml:space="preserve">recovery </w:t>
      </w:r>
      <w:r w:rsidR="00FF4237">
        <w:rPr>
          <w:rFonts w:ascii="Times New Roman" w:hAnsi="Times New Roman" w:cs="Times New Roman"/>
          <w:sz w:val="24"/>
          <w:szCs w:val="24"/>
        </w:rPr>
        <w:t>support services</w:t>
      </w:r>
      <w:r w:rsidRPr="00806A79">
        <w:rPr>
          <w:rFonts w:ascii="Times New Roman" w:hAnsi="Times New Roman" w:cs="Times New Roman"/>
          <w:sz w:val="24"/>
          <w:szCs w:val="24"/>
        </w:rPr>
        <w:t>. It provides</w:t>
      </w:r>
      <w:r w:rsidR="000D71B0" w:rsidRPr="00806A79">
        <w:rPr>
          <w:rFonts w:ascii="Times New Roman" w:hAnsi="Times New Roman" w:cs="Times New Roman"/>
          <w:sz w:val="24"/>
          <w:szCs w:val="24"/>
        </w:rPr>
        <w:t xml:space="preserve"> </w:t>
      </w:r>
      <w:r w:rsidRPr="00806A79">
        <w:rPr>
          <w:rFonts w:ascii="Times New Roman" w:hAnsi="Times New Roman" w:cs="Times New Roman"/>
          <w:sz w:val="24"/>
          <w:szCs w:val="24"/>
        </w:rPr>
        <w:t>a supportive environment within an institution of higher education</w:t>
      </w:r>
      <w:r w:rsidR="000D71B0" w:rsidRPr="00806A79">
        <w:rPr>
          <w:rFonts w:ascii="Times New Roman" w:hAnsi="Times New Roman" w:cs="Times New Roman"/>
          <w:sz w:val="24"/>
          <w:szCs w:val="24"/>
        </w:rPr>
        <w:t xml:space="preserve">. In addition, it </w:t>
      </w:r>
      <w:r w:rsidRPr="00806A79">
        <w:rPr>
          <w:rFonts w:ascii="Times New Roman" w:hAnsi="Times New Roman" w:cs="Times New Roman"/>
          <w:sz w:val="24"/>
          <w:szCs w:val="24"/>
        </w:rPr>
        <w:t>reinforce</w:t>
      </w:r>
      <w:r w:rsidR="000D71B0" w:rsidRPr="00806A79">
        <w:rPr>
          <w:rFonts w:ascii="Times New Roman" w:hAnsi="Times New Roman" w:cs="Times New Roman"/>
          <w:sz w:val="24"/>
          <w:szCs w:val="24"/>
        </w:rPr>
        <w:t>s</w:t>
      </w:r>
      <w:r w:rsidRPr="00806A79">
        <w:rPr>
          <w:rFonts w:ascii="Times New Roman" w:hAnsi="Times New Roman" w:cs="Times New Roman"/>
          <w:sz w:val="24"/>
          <w:szCs w:val="24"/>
        </w:rPr>
        <w:t xml:space="preserve"> the decision to </w:t>
      </w:r>
      <w:r w:rsidR="00FF4237">
        <w:rPr>
          <w:rFonts w:ascii="Times New Roman" w:hAnsi="Times New Roman" w:cs="Times New Roman"/>
          <w:sz w:val="24"/>
          <w:szCs w:val="24"/>
        </w:rPr>
        <w:t>pursue a life in</w:t>
      </w:r>
      <w:r w:rsidRPr="00806A79">
        <w:rPr>
          <w:rFonts w:ascii="Times New Roman" w:hAnsi="Times New Roman" w:cs="Times New Roman"/>
          <w:sz w:val="24"/>
          <w:szCs w:val="24"/>
        </w:rPr>
        <w:t xml:space="preserve"> recovery from substance use disorder (SUD); and values peer-recovery support services</w:t>
      </w:r>
      <w:r w:rsidR="00B6565E" w:rsidRPr="00B6565E">
        <w:rPr>
          <w:rFonts w:ascii="Times New Roman" w:hAnsi="Times New Roman" w:cs="Times New Roman"/>
          <w:sz w:val="24"/>
          <w:szCs w:val="24"/>
        </w:rPr>
        <w:t xml:space="preserve">.  </w:t>
      </w:r>
    </w:p>
    <w:p w14:paraId="39CF59F6" w14:textId="77777777" w:rsidR="00B6565E" w:rsidRPr="00B6565E" w:rsidRDefault="00B6565E" w:rsidP="00B6565E">
      <w:pPr>
        <w:autoSpaceDE w:val="0"/>
        <w:autoSpaceDN w:val="0"/>
        <w:spacing w:after="0" w:line="240" w:lineRule="auto"/>
        <w:ind w:firstLine="540"/>
        <w:rPr>
          <w:rFonts w:ascii="Times New Roman" w:hAnsi="Times New Roman" w:cs="Times New Roman"/>
          <w:sz w:val="24"/>
          <w:szCs w:val="24"/>
        </w:rPr>
      </w:pPr>
    </w:p>
    <w:p w14:paraId="13753B0D" w14:textId="13EABB40" w:rsidR="00C175F2" w:rsidRDefault="00C175F2" w:rsidP="00B6565E">
      <w:pPr>
        <w:autoSpaceDE w:val="0"/>
        <w:autoSpaceDN w:val="0"/>
        <w:spacing w:after="0" w:line="240" w:lineRule="auto"/>
        <w:ind w:firstLine="540"/>
        <w:rPr>
          <w:rFonts w:ascii="Times New Roman" w:hAnsi="Times New Roman" w:cs="Times New Roman"/>
          <w:sz w:val="24"/>
          <w:szCs w:val="24"/>
        </w:rPr>
      </w:pPr>
      <w:r w:rsidRPr="008E27EC">
        <w:rPr>
          <w:rFonts w:ascii="Times New Roman" w:hAnsi="Times New Roman" w:cs="Times New Roman"/>
          <w:sz w:val="24"/>
          <w:szCs w:val="24"/>
        </w:rPr>
        <w:t>A MAT-PDOA grantee, Rutgers University, Opioid Peer Emergency Navigation to Accessing Comprehensive Care and Engaging Specialized Services (OPEN ACCESS) reported since the initiation of the Peer/Navigators Specialists program, there has been a significant increase in the use buprenorphine to treat patients with OUD. During the Pandemic, the grant recipient noticed a sudden decrease in administration of buprenorphine, possibly due to patient fear of contracting COVID-19 by coming to the ED; however, Peer Specialists helped to allay fears. Positive outcomes include 109</w:t>
      </w:r>
      <w:r w:rsidR="008E27EC">
        <w:rPr>
          <w:rFonts w:ascii="Times New Roman" w:hAnsi="Times New Roman" w:cs="Times New Roman"/>
          <w:sz w:val="24"/>
          <w:szCs w:val="24"/>
        </w:rPr>
        <w:t xml:space="preserve"> percent</w:t>
      </w:r>
      <w:r w:rsidR="008E27EC" w:rsidRPr="008E27EC">
        <w:rPr>
          <w:rFonts w:ascii="Times New Roman" w:hAnsi="Times New Roman" w:cs="Times New Roman"/>
          <w:sz w:val="24"/>
          <w:szCs w:val="24"/>
        </w:rPr>
        <w:t xml:space="preserve"> </w:t>
      </w:r>
      <w:r w:rsidRPr="008E27EC">
        <w:rPr>
          <w:rFonts w:ascii="Times New Roman" w:hAnsi="Times New Roman" w:cs="Times New Roman"/>
          <w:sz w:val="24"/>
          <w:szCs w:val="24"/>
        </w:rPr>
        <w:t>increase in abstinence, 5.1</w:t>
      </w:r>
      <w:r w:rsidR="008E27EC">
        <w:rPr>
          <w:rFonts w:ascii="Times New Roman" w:hAnsi="Times New Roman" w:cs="Times New Roman"/>
          <w:sz w:val="24"/>
          <w:szCs w:val="24"/>
        </w:rPr>
        <w:t xml:space="preserve"> percent</w:t>
      </w:r>
      <w:r w:rsidR="008E27EC" w:rsidRPr="008E27EC">
        <w:rPr>
          <w:rFonts w:ascii="Times New Roman" w:hAnsi="Times New Roman" w:cs="Times New Roman"/>
          <w:sz w:val="24"/>
          <w:szCs w:val="24"/>
        </w:rPr>
        <w:t xml:space="preserve"> </w:t>
      </w:r>
      <w:r w:rsidRPr="008E27EC">
        <w:rPr>
          <w:rFonts w:ascii="Times New Roman" w:hAnsi="Times New Roman" w:cs="Times New Roman"/>
          <w:sz w:val="24"/>
          <w:szCs w:val="24"/>
        </w:rPr>
        <w:t>decrease in crime/criminal justice activity and 88.9</w:t>
      </w:r>
      <w:r w:rsidR="008E27EC">
        <w:rPr>
          <w:rFonts w:ascii="Times New Roman" w:hAnsi="Times New Roman" w:cs="Times New Roman"/>
          <w:sz w:val="24"/>
          <w:szCs w:val="24"/>
        </w:rPr>
        <w:t xml:space="preserve"> percent</w:t>
      </w:r>
      <w:r w:rsidR="008E27EC" w:rsidRPr="008E27EC">
        <w:rPr>
          <w:rFonts w:ascii="Times New Roman" w:hAnsi="Times New Roman" w:cs="Times New Roman"/>
          <w:sz w:val="24"/>
          <w:szCs w:val="24"/>
        </w:rPr>
        <w:t xml:space="preserve"> </w:t>
      </w:r>
      <w:r w:rsidRPr="008E27EC">
        <w:rPr>
          <w:rFonts w:ascii="Times New Roman" w:hAnsi="Times New Roman" w:cs="Times New Roman"/>
          <w:sz w:val="24"/>
          <w:szCs w:val="24"/>
        </w:rPr>
        <w:t>decrease in alcohol or illegal drug related health, behavioral, social consequences.</w:t>
      </w:r>
    </w:p>
    <w:p w14:paraId="2F1E4A5C" w14:textId="77777777" w:rsidR="00B6565E" w:rsidRPr="008E27EC" w:rsidRDefault="00B6565E" w:rsidP="00B6565E">
      <w:pPr>
        <w:autoSpaceDE w:val="0"/>
        <w:autoSpaceDN w:val="0"/>
        <w:spacing w:after="0" w:line="240" w:lineRule="auto"/>
        <w:ind w:firstLine="540"/>
        <w:rPr>
          <w:rFonts w:ascii="Times New Roman" w:hAnsi="Times New Roman" w:cs="Times New Roman"/>
          <w:sz w:val="24"/>
          <w:szCs w:val="24"/>
        </w:rPr>
      </w:pPr>
    </w:p>
    <w:p w14:paraId="3F422BA8" w14:textId="024C05A4" w:rsidR="008E5F7E" w:rsidRPr="00B6565E" w:rsidRDefault="00FF4237" w:rsidP="00B6565E">
      <w:pPr>
        <w:autoSpaceDE w:val="0"/>
        <w:autoSpaceDN w:val="0"/>
        <w:spacing w:after="0" w:line="240" w:lineRule="auto"/>
        <w:ind w:firstLine="540"/>
        <w:rPr>
          <w:rFonts w:ascii="Times New Roman" w:hAnsi="Times New Roman" w:cs="Times New Roman"/>
          <w:sz w:val="24"/>
          <w:szCs w:val="24"/>
        </w:rPr>
      </w:pPr>
      <w:r w:rsidRPr="00732611">
        <w:rPr>
          <w:rFonts w:ascii="Times New Roman" w:hAnsi="Times New Roman" w:cs="Times New Roman"/>
          <w:sz w:val="24"/>
          <w:szCs w:val="24"/>
        </w:rPr>
        <w:t xml:space="preserve">From </w:t>
      </w:r>
      <w:r w:rsidR="008E5F7E" w:rsidRPr="00732611">
        <w:rPr>
          <w:rFonts w:ascii="Times New Roman" w:hAnsi="Times New Roman" w:cs="Times New Roman"/>
          <w:sz w:val="24"/>
          <w:szCs w:val="24"/>
        </w:rPr>
        <w:t xml:space="preserve">its inception in 2012 through 2019, the Association of Recovery in Higher Education has grown to over 150 institutional members. </w:t>
      </w:r>
      <w:r w:rsidR="007853F9" w:rsidRPr="008E27EC">
        <w:rPr>
          <w:rFonts w:ascii="Times New Roman" w:hAnsi="Times New Roman" w:cs="Times New Roman"/>
          <w:sz w:val="24"/>
          <w:szCs w:val="24"/>
        </w:rPr>
        <w:t>While SAMHSA does not directly currently fund Collegiate Recovery Programs (CRP)/Collegiate Recovery Communities (CRC), our BCOR grants may support CRP projects in states. SAMHSA recognizes that CRP/CRC offer a promising approach to supporting recovery on higher education campuses. For example, o</w:t>
      </w:r>
      <w:r w:rsidR="008E5F7E" w:rsidRPr="00732611">
        <w:rPr>
          <w:rFonts w:ascii="Times New Roman" w:hAnsi="Times New Roman" w:cs="Times New Roman"/>
          <w:sz w:val="24"/>
          <w:szCs w:val="24"/>
        </w:rPr>
        <w:t xml:space="preserve">ne outcome to note is that CRPs </w:t>
      </w:r>
      <w:r w:rsidR="00E4736E" w:rsidRPr="00732611">
        <w:rPr>
          <w:rFonts w:ascii="Times New Roman" w:hAnsi="Times New Roman" w:cs="Times New Roman"/>
          <w:sz w:val="24"/>
          <w:szCs w:val="24"/>
        </w:rPr>
        <w:t xml:space="preserve">have been shown to </w:t>
      </w:r>
      <w:r w:rsidR="008E5F7E" w:rsidRPr="00732611">
        <w:rPr>
          <w:rFonts w:ascii="Times New Roman" w:hAnsi="Times New Roman" w:cs="Times New Roman"/>
          <w:sz w:val="24"/>
          <w:szCs w:val="24"/>
        </w:rPr>
        <w:t xml:space="preserve">reduce the recovery and relapse cycle by 15 years and according to studies in 2013 and 2018, students involved in CRPs collectively </w:t>
      </w:r>
      <w:r w:rsidR="00E4736E" w:rsidRPr="00732611">
        <w:rPr>
          <w:rFonts w:ascii="Times New Roman" w:hAnsi="Times New Roman" w:cs="Times New Roman"/>
          <w:sz w:val="24"/>
          <w:szCs w:val="24"/>
        </w:rPr>
        <w:t xml:space="preserve">had </w:t>
      </w:r>
      <w:r w:rsidR="008E5F7E" w:rsidRPr="00732611">
        <w:rPr>
          <w:rFonts w:ascii="Times New Roman" w:hAnsi="Times New Roman" w:cs="Times New Roman"/>
          <w:sz w:val="24"/>
          <w:szCs w:val="24"/>
        </w:rPr>
        <w:t xml:space="preserve">a higher average GPA than the general student body (Laudet, et al., 2013; Ashford, et al, 2018). Some best practices include: </w:t>
      </w:r>
      <w:r w:rsidR="00EF1F6B" w:rsidRPr="00732611">
        <w:rPr>
          <w:rFonts w:ascii="Times New Roman" w:hAnsi="Times New Roman" w:cs="Times New Roman"/>
          <w:sz w:val="24"/>
          <w:szCs w:val="24"/>
        </w:rPr>
        <w:t>(1</w:t>
      </w:r>
      <w:r w:rsidR="008E5F7E" w:rsidRPr="00732611">
        <w:rPr>
          <w:rFonts w:ascii="Times New Roman" w:hAnsi="Times New Roman" w:cs="Times New Roman"/>
          <w:sz w:val="24"/>
          <w:szCs w:val="24"/>
        </w:rPr>
        <w:t xml:space="preserve">) </w:t>
      </w:r>
      <w:r w:rsidR="00E4736E" w:rsidRPr="00732611">
        <w:rPr>
          <w:rFonts w:ascii="Times New Roman" w:hAnsi="Times New Roman" w:cs="Times New Roman"/>
          <w:sz w:val="24"/>
          <w:szCs w:val="24"/>
        </w:rPr>
        <w:t>D</w:t>
      </w:r>
      <w:r w:rsidR="008E5F7E" w:rsidRPr="00732611">
        <w:rPr>
          <w:rFonts w:ascii="Times New Roman" w:hAnsi="Times New Roman" w:cs="Times New Roman"/>
          <w:sz w:val="24"/>
          <w:szCs w:val="24"/>
        </w:rPr>
        <w:t>edicated space</w:t>
      </w:r>
      <w:r w:rsidR="00EF1F6B" w:rsidRPr="00732611">
        <w:rPr>
          <w:rFonts w:ascii="Times New Roman" w:hAnsi="Times New Roman" w:cs="Times New Roman"/>
          <w:sz w:val="24"/>
          <w:szCs w:val="24"/>
        </w:rPr>
        <w:t>; (2)</w:t>
      </w:r>
      <w:r w:rsidR="008E5F7E" w:rsidRPr="00732611">
        <w:rPr>
          <w:rFonts w:ascii="Times New Roman" w:hAnsi="Times New Roman" w:cs="Times New Roman"/>
          <w:sz w:val="24"/>
          <w:szCs w:val="24"/>
        </w:rPr>
        <w:t xml:space="preserve"> Dedicated staff</w:t>
      </w:r>
      <w:r w:rsidR="00EF1F6B" w:rsidRPr="00732611">
        <w:rPr>
          <w:rFonts w:ascii="Times New Roman" w:hAnsi="Times New Roman" w:cs="Times New Roman"/>
          <w:sz w:val="24"/>
          <w:szCs w:val="24"/>
        </w:rPr>
        <w:t xml:space="preserve">; (3) </w:t>
      </w:r>
      <w:r w:rsidR="008E5F7E" w:rsidRPr="00732611">
        <w:rPr>
          <w:rFonts w:ascii="Times New Roman" w:hAnsi="Times New Roman" w:cs="Times New Roman"/>
          <w:sz w:val="24"/>
          <w:szCs w:val="24"/>
        </w:rPr>
        <w:t>Programming supporting recovery</w:t>
      </w:r>
      <w:r w:rsidR="00EF1F6B" w:rsidRPr="00732611">
        <w:rPr>
          <w:rFonts w:ascii="Times New Roman" w:hAnsi="Times New Roman" w:cs="Times New Roman"/>
          <w:sz w:val="24"/>
          <w:szCs w:val="24"/>
        </w:rPr>
        <w:t>, and (4</w:t>
      </w:r>
      <w:r w:rsidR="008E5F7E" w:rsidRPr="00732611">
        <w:rPr>
          <w:rFonts w:ascii="Times New Roman" w:hAnsi="Times New Roman" w:cs="Times New Roman"/>
          <w:sz w:val="24"/>
          <w:szCs w:val="24"/>
        </w:rPr>
        <w:t>) Peer support.</w:t>
      </w:r>
    </w:p>
    <w:p w14:paraId="68919708" w14:textId="77777777" w:rsidR="008E5F7E" w:rsidRPr="00732611" w:rsidRDefault="008E5F7E" w:rsidP="000D71B0">
      <w:pPr>
        <w:pStyle w:val="Default"/>
        <w:rPr>
          <w:color w:val="auto"/>
        </w:rPr>
      </w:pPr>
    </w:p>
    <w:p w14:paraId="6CE166E1" w14:textId="77777777" w:rsidR="000D71B0" w:rsidRPr="00732611" w:rsidRDefault="000D71B0" w:rsidP="000D71B0">
      <w:pPr>
        <w:autoSpaceDE w:val="0"/>
        <w:autoSpaceDN w:val="0"/>
        <w:adjustRightInd w:val="0"/>
        <w:spacing w:after="0" w:line="240" w:lineRule="auto"/>
        <w:rPr>
          <w:rFonts w:ascii="Times New Roman" w:hAnsi="Times New Roman" w:cs="Times New Roman"/>
          <w:b/>
          <w:bCs/>
          <w:sz w:val="24"/>
          <w:szCs w:val="24"/>
        </w:rPr>
      </w:pPr>
      <w:r w:rsidRPr="00732611">
        <w:rPr>
          <w:rFonts w:ascii="Times New Roman" w:hAnsi="Times New Roman" w:cs="Times New Roman"/>
          <w:b/>
          <w:bCs/>
          <w:sz w:val="24"/>
          <w:szCs w:val="24"/>
        </w:rPr>
        <w:t xml:space="preserve"> Have there been scientific studies examining the effectiveness of recovery programs? If so, what have those studies found? </w:t>
      </w:r>
    </w:p>
    <w:p w14:paraId="6B32FF70" w14:textId="77777777" w:rsidR="008E5F7E" w:rsidRPr="00732611" w:rsidRDefault="008E5F7E" w:rsidP="000D71B0">
      <w:pPr>
        <w:pStyle w:val="Default"/>
        <w:rPr>
          <w:color w:val="auto"/>
        </w:rPr>
      </w:pPr>
    </w:p>
    <w:p w14:paraId="0BF2DFB3" w14:textId="206C4D4A" w:rsidR="008E5F7E" w:rsidRPr="00732611" w:rsidRDefault="0018013D" w:rsidP="000D71B0">
      <w:pPr>
        <w:pStyle w:val="NoSpacing"/>
        <w:ind w:firstLine="540"/>
        <w:rPr>
          <w:rFonts w:ascii="Times New Roman" w:hAnsi="Times New Roman" w:cs="Times New Roman"/>
          <w:sz w:val="24"/>
          <w:szCs w:val="24"/>
        </w:rPr>
      </w:pPr>
      <w:r w:rsidRPr="00732611">
        <w:rPr>
          <w:rFonts w:ascii="Times New Roman" w:hAnsi="Times New Roman" w:cs="Times New Roman"/>
          <w:sz w:val="24"/>
          <w:szCs w:val="24"/>
        </w:rPr>
        <w:t xml:space="preserve">While the research literature on recovery support services is growing, it remains relatively limited. </w:t>
      </w:r>
      <w:r w:rsidR="008E5F7E" w:rsidRPr="00732611">
        <w:rPr>
          <w:rFonts w:ascii="Times New Roman" w:hAnsi="Times New Roman" w:cs="Times New Roman"/>
          <w:sz w:val="24"/>
          <w:szCs w:val="24"/>
        </w:rPr>
        <w:t>Some scientific studies have examined the effectiveness of recovery programs</w:t>
      </w:r>
      <w:r w:rsidR="00F86D44" w:rsidRPr="00732611">
        <w:rPr>
          <w:rFonts w:ascii="Times New Roman" w:hAnsi="Times New Roman" w:cs="Times New Roman"/>
          <w:sz w:val="24"/>
          <w:szCs w:val="24"/>
        </w:rPr>
        <w:t>,</w:t>
      </w:r>
      <w:r w:rsidR="00E303EC" w:rsidRPr="00732611">
        <w:rPr>
          <w:rFonts w:ascii="Times New Roman" w:hAnsi="Times New Roman" w:cs="Times New Roman"/>
          <w:sz w:val="24"/>
          <w:szCs w:val="24"/>
        </w:rPr>
        <w:t xml:space="preserve"> </w:t>
      </w:r>
      <w:r w:rsidR="00F86D44" w:rsidRPr="00732611">
        <w:rPr>
          <w:rFonts w:ascii="Times New Roman" w:hAnsi="Times New Roman" w:cs="Times New Roman"/>
          <w:sz w:val="24"/>
          <w:szCs w:val="24"/>
        </w:rPr>
        <w:t>a</w:t>
      </w:r>
      <w:r w:rsidR="008E5F7E" w:rsidRPr="00732611">
        <w:rPr>
          <w:rFonts w:ascii="Times New Roman" w:hAnsi="Times New Roman" w:cs="Times New Roman"/>
          <w:sz w:val="24"/>
          <w:szCs w:val="24"/>
        </w:rPr>
        <w:t>lthough few have</w:t>
      </w:r>
      <w:r w:rsidR="00E4736E" w:rsidRPr="00732611">
        <w:rPr>
          <w:rFonts w:ascii="Times New Roman" w:hAnsi="Times New Roman" w:cs="Times New Roman"/>
          <w:sz w:val="24"/>
          <w:szCs w:val="24"/>
        </w:rPr>
        <w:t xml:space="preserve"> compared the effectiveness of </w:t>
      </w:r>
      <w:r w:rsidR="00190B47">
        <w:rPr>
          <w:rFonts w:ascii="Times New Roman" w:hAnsi="Times New Roman" w:cs="Times New Roman"/>
          <w:sz w:val="24"/>
          <w:szCs w:val="24"/>
        </w:rPr>
        <w:t xml:space="preserve">services and supports offered through recovery community centers </w:t>
      </w:r>
      <w:r w:rsidR="00B6565E">
        <w:rPr>
          <w:rFonts w:ascii="Times New Roman" w:hAnsi="Times New Roman" w:cs="Times New Roman"/>
          <w:sz w:val="24"/>
          <w:szCs w:val="24"/>
        </w:rPr>
        <w:t xml:space="preserve">and other </w:t>
      </w:r>
      <w:r w:rsidR="00190B47">
        <w:rPr>
          <w:rFonts w:ascii="Times New Roman" w:hAnsi="Times New Roman" w:cs="Times New Roman"/>
          <w:sz w:val="24"/>
          <w:szCs w:val="24"/>
        </w:rPr>
        <w:t>peer-led entities to those offered through a</w:t>
      </w:r>
      <w:r w:rsidR="008E5F7E" w:rsidRPr="00732611">
        <w:rPr>
          <w:rFonts w:ascii="Times New Roman" w:hAnsi="Times New Roman" w:cs="Times New Roman"/>
          <w:sz w:val="24"/>
          <w:szCs w:val="24"/>
        </w:rPr>
        <w:t xml:space="preserve"> part of clinical or medical </w:t>
      </w:r>
      <w:r w:rsidR="00190B47">
        <w:rPr>
          <w:rFonts w:ascii="Times New Roman" w:hAnsi="Times New Roman" w:cs="Times New Roman"/>
          <w:sz w:val="24"/>
          <w:szCs w:val="24"/>
        </w:rPr>
        <w:t>provider</w:t>
      </w:r>
      <w:r w:rsidR="008E5F7E" w:rsidRPr="00732611">
        <w:rPr>
          <w:rFonts w:ascii="Times New Roman" w:hAnsi="Times New Roman" w:cs="Times New Roman"/>
          <w:sz w:val="24"/>
          <w:szCs w:val="24"/>
        </w:rPr>
        <w:t xml:space="preserve">. </w:t>
      </w:r>
    </w:p>
    <w:p w14:paraId="6F29A3ED" w14:textId="77777777" w:rsidR="00330C77" w:rsidRDefault="00330C77" w:rsidP="00CB7795">
      <w:pPr>
        <w:pStyle w:val="Default"/>
        <w:rPr>
          <w:color w:val="auto"/>
        </w:rPr>
      </w:pPr>
    </w:p>
    <w:p w14:paraId="679FCC70" w14:textId="6608E807" w:rsidR="008E5F7E" w:rsidRPr="00B6565E" w:rsidRDefault="008E5F7E" w:rsidP="00B6565E">
      <w:pPr>
        <w:pStyle w:val="NoSpacing"/>
        <w:ind w:firstLine="540"/>
        <w:rPr>
          <w:rFonts w:ascii="Times New Roman" w:hAnsi="Times New Roman" w:cs="Times New Roman"/>
          <w:sz w:val="24"/>
          <w:szCs w:val="24"/>
        </w:rPr>
      </w:pPr>
      <w:r w:rsidRPr="00B6565E">
        <w:rPr>
          <w:rFonts w:ascii="Times New Roman" w:hAnsi="Times New Roman" w:cs="Times New Roman"/>
          <w:sz w:val="24"/>
          <w:szCs w:val="24"/>
        </w:rPr>
        <w:lastRenderedPageBreak/>
        <w:t xml:space="preserve">One study comparing the difference between patients with OUD receiving buprenorphine treatment with peer recovery support services </w:t>
      </w:r>
      <w:r w:rsidR="00E303EC" w:rsidRPr="00B6565E">
        <w:rPr>
          <w:rFonts w:ascii="Times New Roman" w:hAnsi="Times New Roman" w:cs="Times New Roman"/>
          <w:sz w:val="24"/>
          <w:szCs w:val="24"/>
        </w:rPr>
        <w:t xml:space="preserve">(PRSS) </w:t>
      </w:r>
      <w:r w:rsidRPr="00B6565E">
        <w:rPr>
          <w:rFonts w:ascii="Times New Roman" w:hAnsi="Times New Roman" w:cs="Times New Roman"/>
          <w:sz w:val="24"/>
          <w:szCs w:val="24"/>
        </w:rPr>
        <w:t>vs. a group without peer recovery support services found a significant difference in the number of medical appointments attended between each group. The individuals in the PRSS group, attended an average of 13.7 medical appointments vs. 9.8 for the average number of medical appointments attended by the non- PRSS group. Results showed that PRSS predicted more medical appointments attended while controlling for the length of time in treatment, which could mean that PRSS may increase treatment engagement. The authors concluded that it may be possible that PRSS specialists are able to encourage patients to remain in treatment and continue to attend medical appointments. The</w:t>
      </w:r>
      <w:r w:rsidR="00E4736E" w:rsidRPr="00B6565E">
        <w:rPr>
          <w:rFonts w:ascii="Times New Roman" w:hAnsi="Times New Roman" w:cs="Times New Roman"/>
          <w:sz w:val="24"/>
          <w:szCs w:val="24"/>
        </w:rPr>
        <w:t xml:space="preserve"> authors</w:t>
      </w:r>
      <w:r w:rsidRPr="00B6565E">
        <w:rPr>
          <w:rFonts w:ascii="Times New Roman" w:hAnsi="Times New Roman" w:cs="Times New Roman"/>
          <w:sz w:val="24"/>
          <w:szCs w:val="24"/>
        </w:rPr>
        <w:t xml:space="preserve"> acknowledged the fact that there are participant differences and slight variations in defined PRSS roles, but the results mirror a study in 2011 by Tracy et al. showing the association of PRSS and treatment appointment adherence, and the importance of PRSS for treatment engagement. The authors encouraged future studies that would consider specific patient conditions where PRSS may be more or less effective which could include current and past severity of drug use, drug administration preference (e.g., IV, nasal, oral, etc.), and trauma. </w:t>
      </w:r>
      <w:r w:rsidR="000F2F88" w:rsidRPr="00B6565E">
        <w:rPr>
          <w:rFonts w:ascii="Times New Roman" w:hAnsi="Times New Roman" w:cs="Times New Roman"/>
          <w:i/>
          <w:sz w:val="24"/>
          <w:szCs w:val="24"/>
        </w:rPr>
        <w:t xml:space="preserve">Reference: </w:t>
      </w:r>
      <w:r w:rsidRPr="00B6565E">
        <w:rPr>
          <w:rFonts w:ascii="Times New Roman" w:hAnsi="Times New Roman" w:cs="Times New Roman"/>
          <w:i/>
          <w:sz w:val="24"/>
          <w:szCs w:val="24"/>
        </w:rPr>
        <w:t>Sara Mills Huffnagle, Grace Brennan, Keegan Wicks, Denise Holden &amp; Sarah Kawasaki (2021): A comparison of patients with opioid use disorder receiving buprenorphine treatment with and without peer recovery support services, Journal of Substance Use, DOI: 10.1080/14659891.2021.1938265)</w:t>
      </w:r>
    </w:p>
    <w:p w14:paraId="7872DAFF" w14:textId="77777777" w:rsidR="008E5F7E" w:rsidRPr="00806A79" w:rsidRDefault="008E5F7E" w:rsidP="000D71B0">
      <w:pPr>
        <w:pStyle w:val="Default"/>
        <w:rPr>
          <w:color w:val="auto"/>
        </w:rPr>
      </w:pPr>
    </w:p>
    <w:p w14:paraId="10EA0881" w14:textId="4FCE6651" w:rsidR="00C6498E" w:rsidRDefault="00C6498E" w:rsidP="00C6498E">
      <w:pPr>
        <w:spacing w:after="0" w:line="240" w:lineRule="auto"/>
        <w:ind w:firstLine="360"/>
        <w:rPr>
          <w:rFonts w:ascii="Times New Roman" w:eastAsia="Times New Roman" w:hAnsi="Times New Roman" w:cs="Times New Roman"/>
          <w:sz w:val="24"/>
          <w:szCs w:val="24"/>
        </w:rPr>
      </w:pPr>
      <w:r>
        <w:rPr>
          <w:rFonts w:ascii="Times New Roman" w:hAnsi="Times New Roman" w:cs="Times New Roman"/>
          <w:sz w:val="24"/>
          <w:szCs w:val="24"/>
        </w:rPr>
        <w:t xml:space="preserve">Recovery housing is the most widely available form of recovery support services. </w:t>
      </w:r>
      <w:r w:rsidRPr="00C6498E">
        <w:rPr>
          <w:rFonts w:ascii="Times New Roman" w:eastAsia="Times New Roman" w:hAnsi="Times New Roman" w:cs="Times New Roman"/>
          <w:sz w:val="24"/>
          <w:szCs w:val="24"/>
        </w:rPr>
        <w:t xml:space="preserve">It is estimated that there may be more than 17,500 recovery residences nationally. </w:t>
      </w:r>
      <w:r w:rsidRPr="008E27EC">
        <w:rPr>
          <w:rFonts w:ascii="Times New Roman" w:hAnsi="Times New Roman" w:cs="Times New Roman"/>
          <w:sz w:val="24"/>
          <w:szCs w:val="24"/>
        </w:rPr>
        <w:t>The scientific study of recovery residences is somewhat more advanced tha</w:t>
      </w:r>
      <w:r w:rsidR="00330C77">
        <w:rPr>
          <w:rFonts w:ascii="Times New Roman" w:hAnsi="Times New Roman" w:cs="Times New Roman"/>
          <w:sz w:val="24"/>
          <w:szCs w:val="24"/>
        </w:rPr>
        <w:t>n</w:t>
      </w:r>
      <w:r w:rsidRPr="008E27EC">
        <w:rPr>
          <w:rFonts w:ascii="Times New Roman" w:hAnsi="Times New Roman" w:cs="Times New Roman"/>
          <w:sz w:val="24"/>
          <w:szCs w:val="24"/>
        </w:rPr>
        <w:t xml:space="preserve"> associated with other forms of recovery support services.</w:t>
      </w:r>
      <w:r w:rsidRPr="00C6498E">
        <w:rPr>
          <w:rFonts w:ascii="Times New Roman" w:eastAsia="Times New Roman" w:hAnsi="Times New Roman" w:cs="Times New Roman"/>
          <w:sz w:val="24"/>
          <w:szCs w:val="24"/>
        </w:rPr>
        <w:t xml:space="preserve"> Research on Oxford Houses, homes jointly operated by residents who share lease and other costs, found that residents who stay for six months or more are less likely to return to substance use than those who remain a shorter period of time. A study of homes that have an operator and house manager found </w:t>
      </w:r>
      <w:r>
        <w:rPr>
          <w:rFonts w:ascii="Times New Roman" w:eastAsia="Times New Roman" w:hAnsi="Times New Roman" w:cs="Times New Roman"/>
          <w:sz w:val="24"/>
          <w:szCs w:val="24"/>
        </w:rPr>
        <w:t xml:space="preserve">the </w:t>
      </w:r>
      <w:r w:rsidRPr="00C6498E">
        <w:rPr>
          <w:rFonts w:ascii="Times New Roman" w:eastAsia="Times New Roman" w:hAnsi="Times New Roman" w:cs="Times New Roman"/>
          <w:sz w:val="24"/>
          <w:szCs w:val="24"/>
        </w:rPr>
        <w:t xml:space="preserve">residents achieved significant improvements in alcohol and drug use, employment, psychiatric symptoms, and criminal justice system involvement. </w:t>
      </w:r>
      <w:r>
        <w:rPr>
          <w:rFonts w:ascii="Times New Roman" w:eastAsia="Times New Roman" w:hAnsi="Times New Roman" w:cs="Times New Roman"/>
          <w:sz w:val="24"/>
          <w:szCs w:val="24"/>
        </w:rPr>
        <w:t>Moreover,</w:t>
      </w:r>
      <w:r w:rsidRPr="00C649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studies</w:t>
      </w:r>
      <w:r w:rsidRPr="00C6498E">
        <w:rPr>
          <w:rFonts w:ascii="Times New Roman" w:eastAsia="Times New Roman" w:hAnsi="Times New Roman" w:cs="Times New Roman"/>
          <w:sz w:val="24"/>
          <w:szCs w:val="24"/>
        </w:rPr>
        <w:t xml:space="preserve"> in which </w:t>
      </w:r>
      <w:r>
        <w:rPr>
          <w:rFonts w:ascii="Times New Roman" w:eastAsia="Times New Roman" w:hAnsi="Times New Roman" w:cs="Times New Roman"/>
          <w:sz w:val="24"/>
          <w:szCs w:val="24"/>
        </w:rPr>
        <w:t>individuals</w:t>
      </w:r>
      <w:r w:rsidRPr="00C6498E">
        <w:rPr>
          <w:rFonts w:ascii="Times New Roman" w:eastAsia="Times New Roman" w:hAnsi="Times New Roman" w:cs="Times New Roman"/>
          <w:sz w:val="24"/>
          <w:szCs w:val="24"/>
        </w:rPr>
        <w:t xml:space="preserve"> with opioid use disorder were randomly assigned to usual care, abstinence-contingent recovery housing, or a combination of reinforcement-based treatment and recovery housing found that abstinence-contingent recovery housing was associated with higher rates of abstinence and that the addition of intensive reinforcement-based treatment (RBT) further improved outcomes. While </w:t>
      </w:r>
      <w:r>
        <w:rPr>
          <w:rFonts w:ascii="Times New Roman" w:eastAsia="Times New Roman" w:hAnsi="Times New Roman" w:cs="Times New Roman"/>
          <w:sz w:val="24"/>
          <w:szCs w:val="24"/>
        </w:rPr>
        <w:t xml:space="preserve">abstinence-based treatment </w:t>
      </w:r>
      <w:r w:rsidRPr="00C6498E">
        <w:rPr>
          <w:rFonts w:ascii="Times New Roman" w:eastAsia="Times New Roman" w:hAnsi="Times New Roman" w:cs="Times New Roman"/>
          <w:sz w:val="24"/>
          <w:szCs w:val="24"/>
        </w:rPr>
        <w:t>is not generally the indicated treatment for opioid use disorder, these two studies provide evidence of the value of recovery housing.</w:t>
      </w:r>
    </w:p>
    <w:p w14:paraId="2AB73812" w14:textId="0C7549A8" w:rsidR="000E1F29" w:rsidRDefault="000E1F29" w:rsidP="000E1F2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17504F25" w14:textId="77777777" w:rsidR="000E1F29" w:rsidRPr="008E27EC" w:rsidRDefault="000E1F29" w:rsidP="008E27EC">
      <w:pPr>
        <w:pStyle w:val="ListParagraph"/>
        <w:numPr>
          <w:ilvl w:val="0"/>
          <w:numId w:val="18"/>
        </w:numPr>
        <w:spacing w:after="0" w:line="240" w:lineRule="auto"/>
        <w:rPr>
          <w:rFonts w:ascii="Times New Roman" w:eastAsia="Times New Roman" w:hAnsi="Times New Roman" w:cs="Times New Roman"/>
          <w:i/>
          <w:sz w:val="24"/>
          <w:szCs w:val="24"/>
        </w:rPr>
      </w:pPr>
      <w:r w:rsidRPr="008E27EC">
        <w:rPr>
          <w:rFonts w:ascii="Times New Roman" w:eastAsia="Times New Roman" w:hAnsi="Times New Roman" w:cs="Times New Roman"/>
          <w:i/>
          <w:sz w:val="24"/>
          <w:szCs w:val="24"/>
        </w:rPr>
        <w:t xml:space="preserve">Jason LA, Wiedbusch E, Bobak TJ, Taullahu D. Estimating the Number of Substance Use Disorder Recovery Homes in the United States. </w:t>
      </w:r>
      <w:r w:rsidRPr="008E27EC">
        <w:rPr>
          <w:rFonts w:ascii="Times New Roman" w:eastAsia="Times New Roman" w:hAnsi="Times New Roman" w:cs="Times New Roman"/>
          <w:i/>
          <w:iCs/>
          <w:sz w:val="24"/>
          <w:szCs w:val="24"/>
        </w:rPr>
        <w:t xml:space="preserve">Alcoholism treatment quarterly. </w:t>
      </w:r>
      <w:r w:rsidRPr="008E27EC">
        <w:rPr>
          <w:rFonts w:ascii="Times New Roman" w:eastAsia="Times New Roman" w:hAnsi="Times New Roman" w:cs="Times New Roman"/>
          <w:i/>
          <w:sz w:val="24"/>
          <w:szCs w:val="24"/>
        </w:rPr>
        <w:t>2020;38(4):506-514.</w:t>
      </w:r>
    </w:p>
    <w:p w14:paraId="54511B17" w14:textId="77777777" w:rsidR="00B6565E" w:rsidRDefault="000E1F29" w:rsidP="00B6565E">
      <w:pPr>
        <w:pStyle w:val="ListParagraph"/>
        <w:numPr>
          <w:ilvl w:val="0"/>
          <w:numId w:val="18"/>
        </w:numPr>
        <w:spacing w:after="0" w:line="240" w:lineRule="auto"/>
        <w:rPr>
          <w:rFonts w:ascii="Times New Roman" w:eastAsia="Times New Roman" w:hAnsi="Times New Roman" w:cs="Times New Roman"/>
          <w:i/>
          <w:sz w:val="24"/>
          <w:szCs w:val="24"/>
        </w:rPr>
      </w:pPr>
      <w:r w:rsidRPr="008E27EC">
        <w:rPr>
          <w:rFonts w:ascii="Times New Roman" w:eastAsia="Times New Roman" w:hAnsi="Times New Roman" w:cs="Times New Roman"/>
          <w:i/>
          <w:sz w:val="24"/>
          <w:szCs w:val="24"/>
        </w:rPr>
        <w:t xml:space="preserve">Jason LA, Davis MI, Ferrari JR. The need for substance abuse after-care: longitudinal analysis of Oxford House. </w:t>
      </w:r>
      <w:r w:rsidRPr="008E27EC">
        <w:rPr>
          <w:rFonts w:ascii="Times New Roman" w:eastAsia="Times New Roman" w:hAnsi="Times New Roman" w:cs="Times New Roman"/>
          <w:i/>
          <w:iCs/>
          <w:sz w:val="24"/>
          <w:szCs w:val="24"/>
        </w:rPr>
        <w:t xml:space="preserve">Addict Behav. </w:t>
      </w:r>
      <w:r w:rsidRPr="008E27EC">
        <w:rPr>
          <w:rFonts w:ascii="Times New Roman" w:eastAsia="Times New Roman" w:hAnsi="Times New Roman" w:cs="Times New Roman"/>
          <w:i/>
          <w:sz w:val="24"/>
          <w:szCs w:val="24"/>
        </w:rPr>
        <w:t>2007;32(4):803-818.</w:t>
      </w:r>
    </w:p>
    <w:p w14:paraId="30BE8686" w14:textId="00EB0CA7" w:rsidR="000E1F29" w:rsidRPr="00B6565E" w:rsidRDefault="000E1F29" w:rsidP="00B6565E">
      <w:pPr>
        <w:pStyle w:val="ListParagraph"/>
        <w:numPr>
          <w:ilvl w:val="0"/>
          <w:numId w:val="18"/>
        </w:numPr>
        <w:spacing w:after="0" w:line="240" w:lineRule="auto"/>
        <w:rPr>
          <w:rFonts w:ascii="Times New Roman" w:eastAsia="Times New Roman" w:hAnsi="Times New Roman" w:cs="Times New Roman"/>
          <w:i/>
          <w:sz w:val="24"/>
          <w:szCs w:val="24"/>
        </w:rPr>
      </w:pPr>
      <w:r w:rsidRPr="00B6565E">
        <w:rPr>
          <w:rFonts w:ascii="Times New Roman" w:eastAsia="Times New Roman" w:hAnsi="Times New Roman" w:cs="Times New Roman"/>
          <w:i/>
          <w:sz w:val="24"/>
          <w:szCs w:val="24"/>
        </w:rPr>
        <w:t xml:space="preserve">Polcin DL, Korcha RA, Bond J, Galloway G. Sober living houses for alcohol and drug dependence: 18-month outcomes. </w:t>
      </w:r>
      <w:r w:rsidRPr="00B6565E">
        <w:rPr>
          <w:rFonts w:ascii="Times New Roman" w:eastAsia="Times New Roman" w:hAnsi="Times New Roman" w:cs="Times New Roman"/>
          <w:i/>
          <w:iCs/>
          <w:sz w:val="24"/>
          <w:szCs w:val="24"/>
        </w:rPr>
        <w:t xml:space="preserve">Journal of substance abuse treatment. </w:t>
      </w:r>
      <w:r w:rsidRPr="00B6565E">
        <w:rPr>
          <w:rFonts w:ascii="Times New Roman" w:eastAsia="Times New Roman" w:hAnsi="Times New Roman" w:cs="Times New Roman"/>
          <w:i/>
          <w:sz w:val="24"/>
          <w:szCs w:val="24"/>
        </w:rPr>
        <w:t>2010;38(4):356-365.</w:t>
      </w:r>
    </w:p>
    <w:p w14:paraId="183BA06B" w14:textId="66D55761" w:rsidR="000E1F29" w:rsidRPr="008E27EC" w:rsidRDefault="000E1F29" w:rsidP="008E27EC">
      <w:pPr>
        <w:pStyle w:val="ListParagraph"/>
        <w:numPr>
          <w:ilvl w:val="0"/>
          <w:numId w:val="18"/>
        </w:numPr>
        <w:spacing w:after="0" w:line="240" w:lineRule="auto"/>
        <w:rPr>
          <w:rFonts w:ascii="Times New Roman" w:eastAsia="Times New Roman" w:hAnsi="Times New Roman" w:cs="Times New Roman"/>
          <w:i/>
          <w:sz w:val="24"/>
          <w:szCs w:val="24"/>
        </w:rPr>
      </w:pPr>
      <w:r w:rsidRPr="008E27EC">
        <w:rPr>
          <w:rFonts w:ascii="Times New Roman" w:eastAsia="Times New Roman" w:hAnsi="Times New Roman" w:cs="Times New Roman"/>
          <w:i/>
          <w:sz w:val="24"/>
          <w:szCs w:val="24"/>
        </w:rPr>
        <w:lastRenderedPageBreak/>
        <w:t xml:space="preserve">Tuten M, DeFulio A, Jones HE, Stitzer M. Abstinence-contingent recovery housing and reinforcement-based treatment following opioid detoxification. </w:t>
      </w:r>
      <w:r w:rsidRPr="008E27EC">
        <w:rPr>
          <w:rFonts w:ascii="Times New Roman" w:eastAsia="Times New Roman" w:hAnsi="Times New Roman" w:cs="Times New Roman"/>
          <w:i/>
          <w:iCs/>
          <w:sz w:val="24"/>
          <w:szCs w:val="24"/>
        </w:rPr>
        <w:t xml:space="preserve">Addiction. </w:t>
      </w:r>
      <w:r w:rsidRPr="008E27EC">
        <w:rPr>
          <w:rFonts w:ascii="Times New Roman" w:eastAsia="Times New Roman" w:hAnsi="Times New Roman" w:cs="Times New Roman"/>
          <w:i/>
          <w:sz w:val="24"/>
          <w:szCs w:val="24"/>
        </w:rPr>
        <w:t>2012;107(5):973-982.</w:t>
      </w:r>
    </w:p>
    <w:p w14:paraId="4285E543" w14:textId="318FDBF7" w:rsidR="000E1F29" w:rsidRPr="008E27EC" w:rsidRDefault="000E1F29" w:rsidP="008E27EC">
      <w:pPr>
        <w:pStyle w:val="ListParagraph"/>
        <w:numPr>
          <w:ilvl w:val="0"/>
          <w:numId w:val="18"/>
        </w:numPr>
        <w:spacing w:after="0" w:line="240" w:lineRule="auto"/>
        <w:rPr>
          <w:rFonts w:ascii="Times New Roman" w:eastAsia="Times New Roman" w:hAnsi="Times New Roman" w:cs="Times New Roman"/>
          <w:i/>
          <w:sz w:val="24"/>
          <w:szCs w:val="24"/>
        </w:rPr>
      </w:pPr>
      <w:r w:rsidRPr="008E27EC">
        <w:rPr>
          <w:rFonts w:ascii="Times New Roman" w:eastAsia="Times New Roman" w:hAnsi="Times New Roman" w:cs="Times New Roman"/>
          <w:i/>
          <w:sz w:val="24"/>
          <w:szCs w:val="24"/>
        </w:rPr>
        <w:t xml:space="preserve">Tuten M, Shadur JM, Stitzer M, Jones HE. A Comparison of Reinforcement Based Treatment (RBT) versus RBT plus Recovery Housing (RBT(RH)). </w:t>
      </w:r>
      <w:r w:rsidRPr="008E27EC">
        <w:rPr>
          <w:rFonts w:ascii="Times New Roman" w:eastAsia="Times New Roman" w:hAnsi="Times New Roman" w:cs="Times New Roman"/>
          <w:i/>
          <w:iCs/>
          <w:sz w:val="24"/>
          <w:szCs w:val="24"/>
        </w:rPr>
        <w:t xml:space="preserve">J Subst Abuse Treat. </w:t>
      </w:r>
      <w:r w:rsidRPr="008E27EC">
        <w:rPr>
          <w:rFonts w:ascii="Times New Roman" w:eastAsia="Times New Roman" w:hAnsi="Times New Roman" w:cs="Times New Roman"/>
          <w:i/>
          <w:sz w:val="24"/>
          <w:szCs w:val="24"/>
        </w:rPr>
        <w:t>2017;72:48-55.</w:t>
      </w:r>
    </w:p>
    <w:p w14:paraId="0A977027" w14:textId="77777777" w:rsidR="000E1F29" w:rsidRPr="008E27EC" w:rsidRDefault="000E1F29" w:rsidP="008E27EC">
      <w:pPr>
        <w:spacing w:after="0" w:line="240" w:lineRule="auto"/>
        <w:rPr>
          <w:rFonts w:ascii="Times New Roman" w:eastAsia="Times New Roman" w:hAnsi="Times New Roman" w:cs="Times New Roman"/>
          <w:i/>
          <w:sz w:val="24"/>
          <w:szCs w:val="24"/>
        </w:rPr>
      </w:pPr>
    </w:p>
    <w:p w14:paraId="7CAE82FF" w14:textId="13F081B9" w:rsidR="000F2F88" w:rsidRPr="00806A79" w:rsidRDefault="00A26AD5" w:rsidP="000F2F88">
      <w:pPr>
        <w:pStyle w:val="Default"/>
        <w:ind w:firstLine="720"/>
        <w:rPr>
          <w:color w:val="auto"/>
        </w:rPr>
      </w:pPr>
      <w:r w:rsidRPr="00806A79">
        <w:rPr>
          <w:color w:val="auto"/>
        </w:rPr>
        <w:t>A promising new project</w:t>
      </w:r>
      <w:r w:rsidR="000F2F88" w:rsidRPr="00806A79">
        <w:rPr>
          <w:color w:val="auto"/>
        </w:rPr>
        <w:t xml:space="preserve"> is a study being undertaken called NSTARR</w:t>
      </w:r>
      <w:r w:rsidRPr="00806A79">
        <w:rPr>
          <w:color w:val="auto"/>
        </w:rPr>
        <w:t xml:space="preserve">, the </w:t>
      </w:r>
      <w:r w:rsidR="000F2F88" w:rsidRPr="00806A79">
        <w:rPr>
          <w:color w:val="auto"/>
        </w:rPr>
        <w:t xml:space="preserve">National Study of Treatment and Addiction Recovery Residences.  NSTARR is the largest and most diverse study of recovery housing to date, laying the groundwork for observing this important component of the housing, treatment, and recovery support services landscape.  NSTARR will facilitate future research on recovery residences:  large-scale national studies of recovery residences; comparative effectiveness studies, and cost-effectiveness studies of different types of recovery residences; studies identifying which sort of recovery residence works best for whom; and studies of policies and organizational practices that increase recovery housing access and utilization. </w:t>
      </w:r>
    </w:p>
    <w:p w14:paraId="5039D4E2" w14:textId="4B6DFF30" w:rsidR="000F2F88" w:rsidRPr="00806A79" w:rsidRDefault="00A26AD5" w:rsidP="000F2F88">
      <w:pPr>
        <w:pStyle w:val="Default"/>
        <w:rPr>
          <w:i/>
          <w:iCs/>
          <w:color w:val="auto"/>
        </w:rPr>
      </w:pPr>
      <w:r w:rsidRPr="00806A79">
        <w:rPr>
          <w:i/>
          <w:iCs/>
          <w:color w:val="auto"/>
        </w:rPr>
        <w:t xml:space="preserve">Reference: </w:t>
      </w:r>
      <w:hyperlink r:id="rId11" w:history="1">
        <w:r w:rsidRPr="00806A79">
          <w:rPr>
            <w:rStyle w:val="Hyperlink"/>
            <w:i/>
            <w:iCs/>
          </w:rPr>
          <w:t>https://nstarr.arg.org</w:t>
        </w:r>
      </w:hyperlink>
      <w:r w:rsidRPr="00806A79">
        <w:rPr>
          <w:i/>
          <w:iCs/>
          <w:color w:val="auto"/>
        </w:rPr>
        <w:t xml:space="preserve">; </w:t>
      </w:r>
      <w:r w:rsidR="000F2F88" w:rsidRPr="00806A79">
        <w:rPr>
          <w:i/>
          <w:iCs/>
          <w:color w:val="auto"/>
        </w:rPr>
        <w:t>Principal Investigator Amy Mericle, PhD; Dr. Mericle is a scientist at the Alcohol Research Group, a project of the Public Health Institute.</w:t>
      </w:r>
    </w:p>
    <w:p w14:paraId="4FF01E7B" w14:textId="77777777" w:rsidR="00A26AD5" w:rsidRPr="00806A79" w:rsidRDefault="00A26AD5" w:rsidP="000D71B0">
      <w:pPr>
        <w:pStyle w:val="NoSpacing"/>
        <w:rPr>
          <w:rFonts w:ascii="Times New Roman" w:hAnsi="Times New Roman" w:cs="Times New Roman"/>
          <w:sz w:val="24"/>
          <w:szCs w:val="24"/>
        </w:rPr>
      </w:pPr>
    </w:p>
    <w:p w14:paraId="6A91AD8C" w14:textId="26ABF5C4" w:rsidR="000F2F88" w:rsidRPr="00806A79" w:rsidRDefault="00A26AD5" w:rsidP="000D71B0">
      <w:pPr>
        <w:pStyle w:val="NoSpacing"/>
        <w:rPr>
          <w:rFonts w:ascii="Times New Roman" w:hAnsi="Times New Roman" w:cs="Times New Roman"/>
          <w:i/>
          <w:iCs/>
          <w:sz w:val="24"/>
          <w:szCs w:val="24"/>
        </w:rPr>
      </w:pPr>
      <w:r w:rsidRPr="00806A79">
        <w:rPr>
          <w:rFonts w:ascii="Times New Roman" w:hAnsi="Times New Roman" w:cs="Times New Roman"/>
          <w:sz w:val="24"/>
          <w:szCs w:val="24"/>
        </w:rPr>
        <w:t>Additional</w:t>
      </w:r>
      <w:r w:rsidR="000F2F88" w:rsidRPr="00806A79">
        <w:rPr>
          <w:rFonts w:ascii="Times New Roman" w:hAnsi="Times New Roman" w:cs="Times New Roman"/>
          <w:sz w:val="24"/>
          <w:szCs w:val="24"/>
        </w:rPr>
        <w:t xml:space="preserve"> studies </w:t>
      </w:r>
      <w:r w:rsidR="00173825">
        <w:rPr>
          <w:rFonts w:ascii="Times New Roman" w:hAnsi="Times New Roman" w:cs="Times New Roman"/>
          <w:sz w:val="24"/>
          <w:szCs w:val="24"/>
        </w:rPr>
        <w:t xml:space="preserve">and </w:t>
      </w:r>
      <w:r w:rsidR="00A0512C">
        <w:rPr>
          <w:rFonts w:ascii="Times New Roman" w:hAnsi="Times New Roman" w:cs="Times New Roman"/>
          <w:sz w:val="24"/>
          <w:szCs w:val="24"/>
        </w:rPr>
        <w:t xml:space="preserve">literature reviews </w:t>
      </w:r>
      <w:r w:rsidR="000F2F88" w:rsidRPr="00806A79">
        <w:rPr>
          <w:rFonts w:ascii="Times New Roman" w:hAnsi="Times New Roman" w:cs="Times New Roman"/>
          <w:sz w:val="24"/>
          <w:szCs w:val="24"/>
        </w:rPr>
        <w:t xml:space="preserve">of note: </w:t>
      </w:r>
    </w:p>
    <w:p w14:paraId="327AE34E" w14:textId="77777777" w:rsidR="00A0512C" w:rsidRPr="00173825" w:rsidRDefault="00A0512C" w:rsidP="00A0512C">
      <w:pPr>
        <w:pStyle w:val="NoSpacing"/>
        <w:numPr>
          <w:ilvl w:val="0"/>
          <w:numId w:val="17"/>
        </w:numPr>
        <w:rPr>
          <w:rFonts w:ascii="Times New Roman" w:hAnsi="Times New Roman" w:cs="Times New Roman"/>
          <w:i/>
          <w:iCs/>
          <w:sz w:val="24"/>
          <w:szCs w:val="24"/>
        </w:rPr>
      </w:pPr>
      <w:r w:rsidRPr="00173825">
        <w:rPr>
          <w:rFonts w:ascii="Times New Roman" w:hAnsi="Times New Roman" w:cs="Times New Roman"/>
          <w:i/>
          <w:iCs/>
          <w:sz w:val="24"/>
          <w:szCs w:val="24"/>
        </w:rPr>
        <w:t>Andreas D, Ja DY, Wilson S. Peers Reach Out Supporting Peers to Embrace Recovery (PROSPER): A Center for Substance Abuse Treatment Recovery Community Services Program. Alcoholism Treatment Quarterly. 2010;28(3):326-338.</w:t>
      </w:r>
    </w:p>
    <w:p w14:paraId="040ABDB4" w14:textId="2B1C6394" w:rsidR="00A26AD5" w:rsidRPr="00806A79" w:rsidRDefault="008E5F7E" w:rsidP="00A26AD5">
      <w:pPr>
        <w:pStyle w:val="NoSpacing"/>
        <w:numPr>
          <w:ilvl w:val="0"/>
          <w:numId w:val="17"/>
        </w:numPr>
        <w:rPr>
          <w:rFonts w:ascii="Times New Roman" w:hAnsi="Times New Roman" w:cs="Times New Roman"/>
          <w:i/>
          <w:iCs/>
          <w:sz w:val="24"/>
          <w:szCs w:val="24"/>
        </w:rPr>
      </w:pPr>
      <w:r w:rsidRPr="00806A79">
        <w:rPr>
          <w:rFonts w:ascii="Times New Roman" w:hAnsi="Times New Roman" w:cs="Times New Roman"/>
          <w:i/>
          <w:iCs/>
          <w:sz w:val="24"/>
          <w:szCs w:val="24"/>
        </w:rPr>
        <w:t>Ashford, R. D., Brown, A., Canode, B., Sledd, A., Potter, J. S., &amp; Bergman, B. G. (In Press). Peer-based Recovery Support Services Delivered at Recovery Community Organizations: Predictors of Improvements in Individual Recovery Capital. Journal of Addictive Behaviors.</w:t>
      </w:r>
    </w:p>
    <w:p w14:paraId="62B9FA67" w14:textId="29EF55FB" w:rsidR="00A26AD5" w:rsidRPr="008E27EC" w:rsidRDefault="008E5F7E" w:rsidP="00A26AD5">
      <w:pPr>
        <w:pStyle w:val="NoSpacing"/>
        <w:numPr>
          <w:ilvl w:val="0"/>
          <w:numId w:val="17"/>
        </w:numPr>
        <w:rPr>
          <w:rStyle w:val="Hyperlink"/>
          <w:rFonts w:ascii="Times New Roman" w:hAnsi="Times New Roman" w:cs="Times New Roman"/>
          <w:i/>
          <w:iCs/>
          <w:color w:val="auto"/>
          <w:sz w:val="24"/>
          <w:szCs w:val="24"/>
          <w:u w:val="none"/>
        </w:rPr>
      </w:pPr>
      <w:r w:rsidRPr="00806A79">
        <w:rPr>
          <w:rFonts w:ascii="Times New Roman" w:hAnsi="Times New Roman" w:cs="Times New Roman"/>
          <w:i/>
          <w:iCs/>
          <w:sz w:val="24"/>
          <w:szCs w:val="24"/>
        </w:rPr>
        <w:t xml:space="preserve">Ashford RD, Bergman BG, Kelly JF, Curtis B. Systematic review: Digital recovery support services used to support substance use disorder recovery. Hum Behav &amp; Emerg Tech. 2020; 2:18–32. </w:t>
      </w:r>
      <w:hyperlink r:id="rId12" w:history="1">
        <w:r w:rsidRPr="00806A79">
          <w:rPr>
            <w:rStyle w:val="Hyperlink"/>
            <w:rFonts w:ascii="Times New Roman" w:hAnsi="Times New Roman" w:cs="Times New Roman"/>
            <w:i/>
            <w:iCs/>
            <w:color w:val="auto"/>
            <w:sz w:val="24"/>
            <w:szCs w:val="24"/>
          </w:rPr>
          <w:t>https://doi.org/10.1002/hbe2.148</w:t>
        </w:r>
      </w:hyperlink>
    </w:p>
    <w:p w14:paraId="5DC23B79" w14:textId="39726742" w:rsidR="00A0512C" w:rsidRPr="0018013D" w:rsidRDefault="00A0512C" w:rsidP="00A0512C">
      <w:pPr>
        <w:pStyle w:val="NoSpacing"/>
        <w:numPr>
          <w:ilvl w:val="0"/>
          <w:numId w:val="17"/>
        </w:numPr>
        <w:rPr>
          <w:rStyle w:val="Hyperlink"/>
          <w:rFonts w:ascii="Times New Roman" w:hAnsi="Times New Roman" w:cs="Times New Roman"/>
          <w:i/>
          <w:iCs/>
          <w:color w:val="auto"/>
          <w:sz w:val="24"/>
          <w:szCs w:val="24"/>
          <w:u w:val="none"/>
        </w:rPr>
      </w:pPr>
      <w:r w:rsidRPr="00A0512C">
        <w:rPr>
          <w:rFonts w:ascii="Times New Roman" w:hAnsi="Times New Roman" w:cs="Times New Roman"/>
          <w:i/>
          <w:iCs/>
          <w:sz w:val="24"/>
          <w:szCs w:val="24"/>
        </w:rPr>
        <w:t>Boisvert RA, Martin LM, Grosek M, Clarie AJ. Effectiveness of a peer-support community in addiction recovery: participation as intervention. Occupational therapy international. 2008;15(4):205-220.</w:t>
      </w:r>
    </w:p>
    <w:p w14:paraId="34F41AF6" w14:textId="32CC31E2" w:rsidR="008E5F7E" w:rsidRDefault="008E5F7E" w:rsidP="00A26AD5">
      <w:pPr>
        <w:pStyle w:val="NoSpacing"/>
        <w:numPr>
          <w:ilvl w:val="0"/>
          <w:numId w:val="17"/>
        </w:numPr>
        <w:rPr>
          <w:rFonts w:ascii="Times New Roman" w:hAnsi="Times New Roman" w:cs="Times New Roman"/>
          <w:i/>
          <w:iCs/>
          <w:sz w:val="24"/>
          <w:szCs w:val="24"/>
        </w:rPr>
      </w:pPr>
      <w:r w:rsidRPr="00806A79">
        <w:rPr>
          <w:rFonts w:ascii="Times New Roman" w:hAnsi="Times New Roman" w:cs="Times New Roman"/>
          <w:i/>
          <w:iCs/>
          <w:sz w:val="24"/>
          <w:szCs w:val="24"/>
        </w:rPr>
        <w:t>Brandon G. Bergman &amp; John F. Kelly. Online digital recovery support services: An overview of the science and their potential to help individuals with substance use disorder during COVID-19 and beyond. Journal of Substance Abuse Treatment (2021)</w:t>
      </w:r>
    </w:p>
    <w:p w14:paraId="5EA272CE" w14:textId="474935B8" w:rsidR="00A0512C" w:rsidRPr="00A0512C" w:rsidRDefault="00A0512C" w:rsidP="00A0512C">
      <w:pPr>
        <w:pStyle w:val="NoSpacing"/>
        <w:numPr>
          <w:ilvl w:val="0"/>
          <w:numId w:val="17"/>
        </w:numPr>
        <w:rPr>
          <w:rFonts w:ascii="Times New Roman" w:hAnsi="Times New Roman" w:cs="Times New Roman"/>
          <w:i/>
          <w:iCs/>
          <w:sz w:val="24"/>
          <w:szCs w:val="24"/>
        </w:rPr>
      </w:pPr>
      <w:r w:rsidRPr="00A0512C">
        <w:rPr>
          <w:rFonts w:ascii="Times New Roman" w:hAnsi="Times New Roman" w:cs="Times New Roman"/>
          <w:i/>
          <w:iCs/>
          <w:sz w:val="24"/>
          <w:szCs w:val="24"/>
        </w:rPr>
        <w:t>Deering KN, Kerr T, Tyndall MW, et al. A peer-led mobile outreach program and increased utilization of detoxification and residential drug treatment among female sex workers who use drugs in a Canadian setting. Drug Alcohol Depend. 2011;113(1):46-54.</w:t>
      </w:r>
    </w:p>
    <w:p w14:paraId="4444B746" w14:textId="5B169BC0" w:rsidR="00173825" w:rsidRDefault="00173825" w:rsidP="00A0512C">
      <w:pPr>
        <w:pStyle w:val="NoSpacing"/>
        <w:numPr>
          <w:ilvl w:val="0"/>
          <w:numId w:val="17"/>
        </w:numPr>
        <w:rPr>
          <w:rFonts w:ascii="Times New Roman" w:hAnsi="Times New Roman" w:cs="Times New Roman"/>
          <w:i/>
          <w:iCs/>
          <w:sz w:val="24"/>
          <w:szCs w:val="24"/>
        </w:rPr>
      </w:pPr>
      <w:r w:rsidRPr="00173825">
        <w:rPr>
          <w:rFonts w:ascii="Times New Roman" w:hAnsi="Times New Roman" w:cs="Times New Roman"/>
          <w:i/>
          <w:iCs/>
          <w:sz w:val="24"/>
          <w:szCs w:val="24"/>
        </w:rPr>
        <w:t>Kelly JF, Stout RL, Jason LA, Fallah-Sohy N, Hoffman LA, Hoeppner BB. One-Stop Shopping for Recovery: An Investigation of Participant Characteristics and Benefits Derived From U.S. Recovery Community Centers. Alcohol Clin Exp Res. 2020;44(3):711-721.</w:t>
      </w:r>
    </w:p>
    <w:p w14:paraId="1989D691" w14:textId="77777777" w:rsidR="00A0512C" w:rsidRDefault="00A0512C" w:rsidP="00A34F75">
      <w:pPr>
        <w:pStyle w:val="ListParagraph"/>
        <w:numPr>
          <w:ilvl w:val="0"/>
          <w:numId w:val="17"/>
        </w:numPr>
        <w:spacing w:after="0"/>
        <w:rPr>
          <w:rFonts w:ascii="Times New Roman" w:hAnsi="Times New Roman" w:cs="Times New Roman"/>
          <w:i/>
          <w:iCs/>
          <w:sz w:val="24"/>
          <w:szCs w:val="24"/>
        </w:rPr>
      </w:pPr>
      <w:r w:rsidRPr="00A0512C">
        <w:rPr>
          <w:rFonts w:ascii="Times New Roman" w:hAnsi="Times New Roman" w:cs="Times New Roman"/>
          <w:i/>
          <w:iCs/>
          <w:sz w:val="24"/>
          <w:szCs w:val="24"/>
        </w:rPr>
        <w:t>Reif S, Braude L, Lyman DR, et al. Peer recovery support for individuals with substance use disorders: assessing the evidence. Psychiatric services (Washington, DC). 2014;65(7):853-861.</w:t>
      </w:r>
    </w:p>
    <w:p w14:paraId="1B37D02C" w14:textId="0E602576" w:rsidR="00173825" w:rsidRPr="0018013D" w:rsidRDefault="00173825" w:rsidP="00A34F75">
      <w:pPr>
        <w:pStyle w:val="ListParagraph"/>
        <w:numPr>
          <w:ilvl w:val="0"/>
          <w:numId w:val="17"/>
        </w:numPr>
        <w:spacing w:after="0"/>
        <w:rPr>
          <w:rFonts w:ascii="Times New Roman" w:hAnsi="Times New Roman" w:cs="Times New Roman"/>
          <w:i/>
          <w:iCs/>
          <w:sz w:val="24"/>
          <w:szCs w:val="24"/>
        </w:rPr>
      </w:pPr>
      <w:r w:rsidRPr="00A0512C">
        <w:rPr>
          <w:rFonts w:ascii="Times New Roman" w:hAnsi="Times New Roman" w:cs="Times New Roman"/>
          <w:i/>
          <w:iCs/>
          <w:sz w:val="24"/>
          <w:szCs w:val="24"/>
        </w:rPr>
        <w:lastRenderedPageBreak/>
        <w:t>Ryan JP, Victor BG, Moore A, Mowbray O, Perron</w:t>
      </w:r>
      <w:r w:rsidR="00A0512C" w:rsidRPr="00A0512C">
        <w:rPr>
          <w:rFonts w:ascii="Times New Roman" w:hAnsi="Times New Roman" w:cs="Times New Roman"/>
          <w:i/>
          <w:iCs/>
          <w:sz w:val="24"/>
          <w:szCs w:val="24"/>
        </w:rPr>
        <w:t>,</w:t>
      </w:r>
      <w:r w:rsidRPr="00A0512C">
        <w:rPr>
          <w:rFonts w:ascii="Times New Roman" w:hAnsi="Times New Roman" w:cs="Times New Roman"/>
          <w:i/>
          <w:iCs/>
          <w:sz w:val="24"/>
          <w:szCs w:val="24"/>
        </w:rPr>
        <w:t xml:space="preserve"> BE. Recovery coaches and the stability of reunification for substance abusing families in child welfare. Children and Youth Services Review. 2016;70:</w:t>
      </w:r>
      <w:r w:rsidRPr="0018013D">
        <w:rPr>
          <w:rFonts w:ascii="Times New Roman" w:hAnsi="Times New Roman" w:cs="Times New Roman"/>
          <w:i/>
          <w:iCs/>
          <w:sz w:val="24"/>
          <w:szCs w:val="24"/>
        </w:rPr>
        <w:t>357-363.</w:t>
      </w:r>
    </w:p>
    <w:p w14:paraId="29107946" w14:textId="4F48CE7C" w:rsidR="00173825" w:rsidRPr="00173825" w:rsidRDefault="00173825">
      <w:pPr>
        <w:pStyle w:val="NoSpacing"/>
        <w:numPr>
          <w:ilvl w:val="0"/>
          <w:numId w:val="17"/>
        </w:numPr>
        <w:rPr>
          <w:rFonts w:ascii="Times New Roman" w:hAnsi="Times New Roman" w:cs="Times New Roman"/>
          <w:i/>
          <w:iCs/>
          <w:sz w:val="24"/>
          <w:szCs w:val="24"/>
        </w:rPr>
      </w:pPr>
      <w:r w:rsidRPr="00173825">
        <w:rPr>
          <w:rFonts w:ascii="Times New Roman" w:hAnsi="Times New Roman" w:cs="Times New Roman"/>
          <w:i/>
          <w:iCs/>
          <w:sz w:val="24"/>
          <w:szCs w:val="24"/>
        </w:rPr>
        <w:t>Sanders LM, Trinh C, Sherman BR, Banks SM. Assessment of client satisfaction in a peer counseling substance abuse treatment program for pregnant and postpartum women. Evaluation and Program Planning. 1998;21(3):287-296.</w:t>
      </w:r>
    </w:p>
    <w:p w14:paraId="13BB22D8" w14:textId="77777777" w:rsidR="008E5F7E" w:rsidRPr="00806A79" w:rsidRDefault="008E5F7E" w:rsidP="000D71B0">
      <w:pPr>
        <w:pStyle w:val="Default"/>
        <w:rPr>
          <w:color w:val="auto"/>
        </w:rPr>
      </w:pPr>
    </w:p>
    <w:p w14:paraId="09CFCCD6" w14:textId="77777777" w:rsidR="008E5F7E" w:rsidRPr="00806A79" w:rsidRDefault="008E5F7E" w:rsidP="000D71B0">
      <w:pPr>
        <w:pStyle w:val="Default"/>
        <w:rPr>
          <w:color w:val="auto"/>
        </w:rPr>
      </w:pPr>
    </w:p>
    <w:p w14:paraId="64F46CD1" w14:textId="5843CF11" w:rsidR="000D71B0" w:rsidRPr="00806A79" w:rsidRDefault="000D71B0" w:rsidP="000D71B0">
      <w:pPr>
        <w:pStyle w:val="Default"/>
        <w:rPr>
          <w:color w:val="auto"/>
        </w:rPr>
      </w:pPr>
      <w:r w:rsidRPr="00806A79">
        <w:rPr>
          <w:b/>
          <w:bCs/>
        </w:rPr>
        <w:t> Is SAMHSA working with its federal and other partners to develop best practices for recovery programs?</w:t>
      </w:r>
    </w:p>
    <w:p w14:paraId="73D8164D" w14:textId="77777777" w:rsidR="008E5F7E" w:rsidRPr="00806A79" w:rsidRDefault="008E5F7E" w:rsidP="000D71B0">
      <w:pPr>
        <w:pStyle w:val="Default"/>
        <w:rPr>
          <w:color w:val="auto"/>
        </w:rPr>
      </w:pPr>
    </w:p>
    <w:p w14:paraId="43DC8D92" w14:textId="4ACC1A25" w:rsidR="008E5F7E" w:rsidRPr="00806A79" w:rsidRDefault="008E5F7E" w:rsidP="00BC642D">
      <w:pPr>
        <w:pStyle w:val="paragraph"/>
        <w:ind w:firstLine="720"/>
        <w:textAlignment w:val="baseline"/>
      </w:pPr>
      <w:bookmarkStart w:id="0" w:name="_Hlk78810766"/>
      <w:r w:rsidRPr="00806A79">
        <w:rPr>
          <w:shd w:val="clear" w:color="auto" w:fill="FFFFFF"/>
        </w:rPr>
        <w:t>In February 2019</w:t>
      </w:r>
      <w:r w:rsidR="00CB7795" w:rsidRPr="00806A79">
        <w:rPr>
          <w:shd w:val="clear" w:color="auto" w:fill="FFFFFF"/>
        </w:rPr>
        <w:t>,</w:t>
      </w:r>
      <w:r w:rsidRPr="00806A79">
        <w:rPr>
          <w:shd w:val="clear" w:color="auto" w:fill="FFFFFF"/>
        </w:rPr>
        <w:t xml:space="preserve"> SAMHSA partnered with </w:t>
      </w:r>
      <w:r w:rsidR="007347F6">
        <w:rPr>
          <w:shd w:val="clear" w:color="auto" w:fill="FFFFFF"/>
        </w:rPr>
        <w:t>the Department of Agriculture</w:t>
      </w:r>
      <w:r w:rsidR="007347F6" w:rsidRPr="00806A79">
        <w:rPr>
          <w:shd w:val="clear" w:color="auto" w:fill="FFFFFF"/>
        </w:rPr>
        <w:t xml:space="preserve"> </w:t>
      </w:r>
      <w:r w:rsidRPr="00806A79">
        <w:rPr>
          <w:shd w:val="clear" w:color="auto" w:fill="FFFFFF"/>
        </w:rPr>
        <w:t>to create addiction recovery transitional housing in rural communities.</w:t>
      </w:r>
      <w:r w:rsidRPr="00806A79">
        <w:t xml:space="preserve"> SAMHSA also collaborated with </w:t>
      </w:r>
      <w:r w:rsidRPr="00806A79">
        <w:rPr>
          <w:rStyle w:val="normaltextrun1"/>
        </w:rPr>
        <w:t xml:space="preserve">the University of Missouri-Kansas City (UMKC) </w:t>
      </w:r>
      <w:r w:rsidRPr="00806A79">
        <w:t xml:space="preserve">to launch and support the Peer Recovery Center of Excellence in September 2020: </w:t>
      </w:r>
      <w:hyperlink r:id="rId13" w:history="1">
        <w:r w:rsidRPr="00806A79">
          <w:rPr>
            <w:rStyle w:val="Hyperlink"/>
            <w:color w:val="auto"/>
          </w:rPr>
          <w:t>www.PeerRecoveryNow.org</w:t>
        </w:r>
      </w:hyperlink>
      <w:r w:rsidRPr="00806A79">
        <w:rPr>
          <w:rStyle w:val="normaltextrun1"/>
        </w:rPr>
        <w:t xml:space="preserve">. </w:t>
      </w:r>
      <w:r w:rsidR="00DC2E3C">
        <w:rPr>
          <w:rStyle w:val="normaltextrun1"/>
        </w:rPr>
        <w:t>Authorized under</w:t>
      </w:r>
      <w:r w:rsidR="00DC2E3C" w:rsidRPr="00DC2E3C">
        <w:rPr>
          <w:rStyle w:val="normaltextrun1"/>
        </w:rPr>
        <w:t xml:space="preserve"> Section 7152 of the SUPPORT </w:t>
      </w:r>
      <w:r w:rsidR="00DC2E3C">
        <w:rPr>
          <w:rStyle w:val="normaltextrun1"/>
        </w:rPr>
        <w:t xml:space="preserve">Act, the Center of Excellence is </w:t>
      </w:r>
      <w:r w:rsidR="00DC2E3C" w:rsidRPr="00DC2E3C">
        <w:rPr>
          <w:rStyle w:val="normaltextrun1"/>
        </w:rPr>
        <w:t xml:space="preserve">a peer-led national center that provides training and technical assistance related to substance use disorder recovery. </w:t>
      </w:r>
      <w:r w:rsidR="00DC2E3C">
        <w:rPr>
          <w:rStyle w:val="normaltextrun1"/>
        </w:rPr>
        <w:t>T</w:t>
      </w:r>
      <w:r w:rsidR="00DC2E3C" w:rsidRPr="00DC2E3C">
        <w:rPr>
          <w:rStyle w:val="normaltextrun1"/>
        </w:rPr>
        <w:t>he Center is led by a steering committee comprised of national peer recovery leaders from across the nation. UMKC’s partners in the Center of Excellence are University of Texas Austin, University of Wisconsin, and the National Council for Behavioral Health.</w:t>
      </w:r>
      <w:r w:rsidR="00DC2E3C">
        <w:rPr>
          <w:rStyle w:val="normaltextrun1"/>
        </w:rPr>
        <w:t xml:space="preserve"> </w:t>
      </w:r>
      <w:r w:rsidRPr="00806A79">
        <w:rPr>
          <w:rStyle w:val="normaltextrun1"/>
        </w:rPr>
        <w:t xml:space="preserve">SAMHSA collaborates with </w:t>
      </w:r>
      <w:r w:rsidRPr="00806A79">
        <w:t>Faces and Voices of Recovery (</w:t>
      </w:r>
      <w:hyperlink r:id="rId14" w:history="1">
        <w:r w:rsidRPr="00806A79">
          <w:rPr>
            <w:rStyle w:val="Hyperlink"/>
            <w:color w:val="auto"/>
          </w:rPr>
          <w:t>https://facesandvoicesofrecovery.org/about/who-we-are/funders/</w:t>
        </w:r>
      </w:hyperlink>
      <w:r w:rsidRPr="00806A79">
        <w:t>), the MARS Project</w:t>
      </w:r>
      <w:r w:rsidR="00B635DC">
        <w:t xml:space="preserve"> (</w:t>
      </w:r>
      <w:r w:rsidR="00B635DC" w:rsidRPr="00B635DC">
        <w:t>https://marsproject.org/</w:t>
      </w:r>
      <w:r w:rsidR="009F75E4">
        <w:t>)</w:t>
      </w:r>
      <w:r w:rsidRPr="00806A79">
        <w:t xml:space="preserve">, </w:t>
      </w:r>
      <w:r w:rsidRPr="00806A79">
        <w:rPr>
          <w:lang w:val="en"/>
        </w:rPr>
        <w:t>Connecticut Community for Addiction Recovery (</w:t>
      </w:r>
      <w:r w:rsidRPr="00806A79">
        <w:t xml:space="preserve">CCAR - </w:t>
      </w:r>
      <w:hyperlink r:id="rId15" w:history="1">
        <w:r w:rsidRPr="00806A79">
          <w:rPr>
            <w:rStyle w:val="Hyperlink"/>
            <w:color w:val="auto"/>
          </w:rPr>
          <w:t>https://ccar.us/</w:t>
        </w:r>
      </w:hyperlink>
      <w:r w:rsidRPr="00806A79">
        <w:t xml:space="preserve">). </w:t>
      </w:r>
      <w:r w:rsidR="00755847" w:rsidRPr="00806A79">
        <w:t>Additionally</w:t>
      </w:r>
      <w:r w:rsidRPr="00806A79">
        <w:t xml:space="preserve">, </w:t>
      </w:r>
      <w:bookmarkEnd w:id="0"/>
      <w:r w:rsidRPr="00806A79">
        <w:t>SAMHSA</w:t>
      </w:r>
      <w:r w:rsidR="00361334" w:rsidRPr="00806A79">
        <w:t xml:space="preserve"> published the Recovery Housing: Best Practices and Suggested Guidelines</w:t>
      </w:r>
      <w:r w:rsidRPr="00806A79">
        <w:t xml:space="preserve"> </w:t>
      </w:r>
      <w:r w:rsidR="00361334" w:rsidRPr="00806A79">
        <w:t>(</w:t>
      </w:r>
      <w:hyperlink r:id="rId16" w:history="1">
        <w:r w:rsidR="00361334" w:rsidRPr="00806A79">
          <w:rPr>
            <w:rStyle w:val="Hyperlink"/>
          </w:rPr>
          <w:t>https://www.samhsa.gov/resource/ebp/recovery-housing-best-practices-suggested-guidelines</w:t>
        </w:r>
      </w:hyperlink>
      <w:r w:rsidR="00361334" w:rsidRPr="00806A79">
        <w:rPr>
          <w:rStyle w:val="Hyperlink"/>
        </w:rPr>
        <w:t xml:space="preserve">), and </w:t>
      </w:r>
      <w:r w:rsidRPr="00806A79">
        <w:t>completed an Evidence Based Resource Guide: Substance Use Disorders Recovery with a Focus on Employment and Education</w:t>
      </w:r>
      <w:r w:rsidR="00A1358F" w:rsidRPr="00806A79">
        <w:t xml:space="preserve"> (https://www.samhsa.gov/resource/ebp/substance-use-disorders-recovery-focus-employment-education)</w:t>
      </w:r>
      <w:r w:rsidRPr="00806A79">
        <w:t xml:space="preserve">. </w:t>
      </w:r>
      <w:r w:rsidR="00DA094C">
        <w:t xml:space="preserve"> </w:t>
      </w:r>
    </w:p>
    <w:p w14:paraId="2237663E" w14:textId="77777777" w:rsidR="008E5F7E" w:rsidRPr="00806A79" w:rsidRDefault="008E5F7E" w:rsidP="000D71B0">
      <w:pPr>
        <w:autoSpaceDE w:val="0"/>
        <w:autoSpaceDN w:val="0"/>
        <w:adjustRightInd w:val="0"/>
        <w:spacing w:after="0" w:line="240" w:lineRule="auto"/>
        <w:rPr>
          <w:rFonts w:ascii="Times New Roman" w:hAnsi="Times New Roman" w:cs="Times New Roman"/>
          <w:b/>
          <w:bCs/>
          <w:sz w:val="24"/>
          <w:szCs w:val="24"/>
        </w:rPr>
      </w:pPr>
    </w:p>
    <w:p w14:paraId="0424A937" w14:textId="77777777" w:rsidR="000D71B0" w:rsidRPr="00806A79" w:rsidRDefault="000D71B0" w:rsidP="000D71B0">
      <w:pPr>
        <w:autoSpaceDE w:val="0"/>
        <w:autoSpaceDN w:val="0"/>
        <w:adjustRightInd w:val="0"/>
        <w:spacing w:after="0" w:line="240" w:lineRule="auto"/>
        <w:jc w:val="center"/>
        <w:rPr>
          <w:rFonts w:ascii="Times New Roman" w:hAnsi="Times New Roman" w:cs="Times New Roman"/>
          <w:b/>
          <w:bCs/>
          <w:sz w:val="24"/>
          <w:szCs w:val="24"/>
        </w:rPr>
      </w:pPr>
    </w:p>
    <w:p w14:paraId="3B8C42CD" w14:textId="77777777" w:rsidR="000D35EE" w:rsidRPr="00806A79" w:rsidRDefault="000D35EE">
      <w:pPr>
        <w:rPr>
          <w:rFonts w:ascii="Times New Roman" w:hAnsi="Times New Roman" w:cs="Times New Roman"/>
          <w:b/>
          <w:bCs/>
          <w:sz w:val="24"/>
          <w:szCs w:val="24"/>
        </w:rPr>
      </w:pPr>
      <w:r w:rsidRPr="00806A79">
        <w:rPr>
          <w:rFonts w:ascii="Times New Roman" w:hAnsi="Times New Roman" w:cs="Times New Roman"/>
          <w:b/>
          <w:bCs/>
          <w:sz w:val="24"/>
          <w:szCs w:val="24"/>
        </w:rPr>
        <w:br w:type="page"/>
      </w:r>
    </w:p>
    <w:p w14:paraId="28608D64" w14:textId="29083955" w:rsidR="00107231" w:rsidRPr="00806A79" w:rsidRDefault="00107231" w:rsidP="000D71B0">
      <w:pPr>
        <w:autoSpaceDE w:val="0"/>
        <w:autoSpaceDN w:val="0"/>
        <w:adjustRightInd w:val="0"/>
        <w:spacing w:after="0" w:line="240" w:lineRule="auto"/>
        <w:jc w:val="center"/>
        <w:rPr>
          <w:rFonts w:ascii="Times New Roman" w:hAnsi="Times New Roman" w:cs="Times New Roman"/>
          <w:sz w:val="24"/>
          <w:szCs w:val="24"/>
        </w:rPr>
      </w:pPr>
      <w:r w:rsidRPr="00806A79">
        <w:rPr>
          <w:rFonts w:ascii="Times New Roman" w:hAnsi="Times New Roman" w:cs="Times New Roman"/>
          <w:b/>
          <w:bCs/>
          <w:sz w:val="24"/>
          <w:szCs w:val="24"/>
        </w:rPr>
        <w:lastRenderedPageBreak/>
        <w:t>Questions for the Record from Senator Charles E. Grassley</w:t>
      </w:r>
    </w:p>
    <w:p w14:paraId="1B1D0C9F" w14:textId="3A91EE32" w:rsidR="00107231" w:rsidRPr="00806A79" w:rsidRDefault="00107231" w:rsidP="000D71B0">
      <w:pPr>
        <w:autoSpaceDE w:val="0"/>
        <w:autoSpaceDN w:val="0"/>
        <w:adjustRightInd w:val="0"/>
        <w:spacing w:after="0" w:line="240" w:lineRule="auto"/>
        <w:jc w:val="center"/>
        <w:rPr>
          <w:rFonts w:ascii="Times New Roman" w:hAnsi="Times New Roman" w:cs="Times New Roman"/>
          <w:sz w:val="24"/>
          <w:szCs w:val="24"/>
        </w:rPr>
      </w:pPr>
      <w:r w:rsidRPr="00806A79">
        <w:rPr>
          <w:rFonts w:ascii="Times New Roman" w:hAnsi="Times New Roman" w:cs="Times New Roman"/>
          <w:b/>
          <w:bCs/>
          <w:sz w:val="24"/>
          <w:szCs w:val="24"/>
        </w:rPr>
        <w:t>U.S. Senate Caucus on International Narcotics Control</w:t>
      </w:r>
    </w:p>
    <w:p w14:paraId="4479FAB1" w14:textId="0B6BB9A0" w:rsidR="00107231" w:rsidRPr="00806A79" w:rsidRDefault="00107231" w:rsidP="000D71B0">
      <w:pPr>
        <w:autoSpaceDE w:val="0"/>
        <w:autoSpaceDN w:val="0"/>
        <w:adjustRightInd w:val="0"/>
        <w:spacing w:after="0" w:line="240" w:lineRule="auto"/>
        <w:jc w:val="center"/>
        <w:rPr>
          <w:rFonts w:ascii="Times New Roman" w:hAnsi="Times New Roman" w:cs="Times New Roman"/>
          <w:sz w:val="24"/>
          <w:szCs w:val="24"/>
        </w:rPr>
      </w:pPr>
      <w:r w:rsidRPr="00806A79">
        <w:rPr>
          <w:rFonts w:ascii="Times New Roman" w:hAnsi="Times New Roman" w:cs="Times New Roman"/>
          <w:b/>
          <w:bCs/>
          <w:sz w:val="24"/>
          <w:szCs w:val="24"/>
        </w:rPr>
        <w:t>“The Federal Response to the Drug Overdose Epidemic”</w:t>
      </w:r>
    </w:p>
    <w:p w14:paraId="3379B3B5" w14:textId="7EE4CA36" w:rsidR="00107231" w:rsidRPr="00806A79" w:rsidRDefault="00107231" w:rsidP="000D71B0">
      <w:pPr>
        <w:pStyle w:val="Default"/>
        <w:jc w:val="center"/>
        <w:rPr>
          <w:b/>
          <w:bCs/>
          <w:color w:val="auto"/>
        </w:rPr>
      </w:pPr>
      <w:r w:rsidRPr="00806A79">
        <w:rPr>
          <w:b/>
          <w:bCs/>
          <w:color w:val="auto"/>
        </w:rPr>
        <w:t>Submitted on July 27, 2021</w:t>
      </w:r>
    </w:p>
    <w:p w14:paraId="6EE4CB83" w14:textId="77777777" w:rsidR="00107231" w:rsidRPr="00806A79" w:rsidRDefault="00107231" w:rsidP="000D71B0">
      <w:pPr>
        <w:autoSpaceDE w:val="0"/>
        <w:autoSpaceDN w:val="0"/>
        <w:adjustRightInd w:val="0"/>
        <w:spacing w:after="0" w:line="240" w:lineRule="auto"/>
        <w:rPr>
          <w:rFonts w:ascii="Times New Roman" w:hAnsi="Times New Roman" w:cs="Times New Roman"/>
          <w:sz w:val="24"/>
          <w:szCs w:val="24"/>
        </w:rPr>
      </w:pPr>
    </w:p>
    <w:p w14:paraId="39D95242" w14:textId="24D48056" w:rsidR="00107231" w:rsidRPr="00806A79" w:rsidRDefault="00107231" w:rsidP="000D71B0">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xml:space="preserve">1. Polydrug use and trafficking also need to be central in the National Drug Control Strategy. Nowadays, an overdose isn’t due to only one drug. Rather, users are often addicted to multiple drugs, and traffickers adapt and sell any drug to earn a profit. This problem is exacerbated by the influx and constant threat of fentanyl analogues. </w:t>
      </w:r>
    </w:p>
    <w:p w14:paraId="1D7E85DC" w14:textId="5AE43951" w:rsidR="00107231" w:rsidRPr="00806A79" w:rsidRDefault="00107231" w:rsidP="000D4793">
      <w:pPr>
        <w:autoSpaceDE w:val="0"/>
        <w:autoSpaceDN w:val="0"/>
        <w:adjustRightInd w:val="0"/>
        <w:spacing w:after="0" w:line="240" w:lineRule="auto"/>
        <w:rPr>
          <w:rFonts w:ascii="Times New Roman" w:hAnsi="Times New Roman" w:cs="Times New Roman"/>
          <w:b/>
          <w:bCs/>
          <w:sz w:val="24"/>
          <w:szCs w:val="24"/>
        </w:rPr>
      </w:pPr>
    </w:p>
    <w:p w14:paraId="1FF5706E" w14:textId="77777777" w:rsidR="000D71B0" w:rsidRPr="00806A79" w:rsidRDefault="000D71B0" w:rsidP="000D71B0">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xml:space="preserve"> What treatment options are available to treat polydrug users? </w:t>
      </w:r>
    </w:p>
    <w:p w14:paraId="4977652B" w14:textId="77777777" w:rsidR="000D71B0" w:rsidRPr="00806A79" w:rsidRDefault="000D71B0" w:rsidP="000D71B0">
      <w:pPr>
        <w:spacing w:after="0" w:line="240" w:lineRule="auto"/>
        <w:ind w:firstLine="720"/>
        <w:rPr>
          <w:rFonts w:ascii="Times New Roman" w:hAnsi="Times New Roman" w:cs="Times New Roman"/>
          <w:sz w:val="24"/>
          <w:szCs w:val="24"/>
        </w:rPr>
      </w:pPr>
    </w:p>
    <w:p w14:paraId="123FD151" w14:textId="042A5ECE" w:rsidR="00107231" w:rsidRDefault="00107231" w:rsidP="000D71B0">
      <w:pPr>
        <w:spacing w:after="0" w:line="240" w:lineRule="auto"/>
        <w:ind w:firstLine="720"/>
        <w:rPr>
          <w:rFonts w:ascii="Times New Roman" w:hAnsi="Times New Roman" w:cs="Times New Roman"/>
          <w:sz w:val="24"/>
          <w:szCs w:val="24"/>
        </w:rPr>
      </w:pPr>
      <w:r w:rsidRPr="00806A79">
        <w:rPr>
          <w:rFonts w:ascii="Times New Roman" w:hAnsi="Times New Roman" w:cs="Times New Roman"/>
          <w:sz w:val="24"/>
          <w:szCs w:val="24"/>
        </w:rPr>
        <w:t xml:space="preserve">Individuals with polysubstance misuse involving alcohol, marijuana, opioids, and/or stimulants receive care in a variety of settings, and often require withdrawal management, psychological and FDA-approved pharmacological treatment, and monitoring as part of their care plan. Treatment planning to address polysubstance use can be challenging, as best practice treatment options to address one substance may limit patients’ eligibility to receive or enroll in treatment for the other. For example, use of FDA-approved pharmacotherapy for opioid use disorder may </w:t>
      </w:r>
      <w:r w:rsidR="009C6C68">
        <w:rPr>
          <w:rFonts w:ascii="Times New Roman" w:hAnsi="Times New Roman" w:cs="Times New Roman"/>
          <w:sz w:val="24"/>
          <w:szCs w:val="24"/>
        </w:rPr>
        <w:t>impact</w:t>
      </w:r>
      <w:r w:rsidRPr="00806A79">
        <w:rPr>
          <w:rFonts w:ascii="Times New Roman" w:hAnsi="Times New Roman" w:cs="Times New Roman"/>
          <w:sz w:val="24"/>
          <w:szCs w:val="24"/>
        </w:rPr>
        <w:t xml:space="preserve"> an individual’s participation in a residential alcohol treatment program.</w:t>
      </w:r>
    </w:p>
    <w:p w14:paraId="340179C4" w14:textId="37A91504" w:rsidR="009F75E4" w:rsidRDefault="009F75E4" w:rsidP="000D71B0">
      <w:pPr>
        <w:spacing w:after="0" w:line="240" w:lineRule="auto"/>
        <w:ind w:firstLine="720"/>
        <w:rPr>
          <w:rFonts w:ascii="Times New Roman" w:hAnsi="Times New Roman" w:cs="Times New Roman"/>
          <w:sz w:val="24"/>
          <w:szCs w:val="24"/>
        </w:rPr>
      </w:pPr>
    </w:p>
    <w:p w14:paraId="6C9818DC" w14:textId="128FEAE7" w:rsidR="009F75E4" w:rsidRDefault="009F75E4" w:rsidP="000D71B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SAMHSA makes available the following resources for individuals seeking substance use disorder care for themselves or others:</w:t>
      </w:r>
    </w:p>
    <w:p w14:paraId="6CB15D51" w14:textId="16B019F6" w:rsidR="009F75E4" w:rsidRDefault="009F75E4" w:rsidP="009F75E4">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National Treatment Locator: </w:t>
      </w:r>
      <w:hyperlink r:id="rId17" w:history="1">
        <w:r w:rsidRPr="00E443D4">
          <w:rPr>
            <w:rStyle w:val="Hyperlink"/>
            <w:rFonts w:ascii="Times New Roman" w:hAnsi="Times New Roman" w:cs="Times New Roman"/>
            <w:sz w:val="24"/>
            <w:szCs w:val="24"/>
          </w:rPr>
          <w:t>https://findtreatment.gov/</w:t>
        </w:r>
      </w:hyperlink>
      <w:r>
        <w:rPr>
          <w:rFonts w:ascii="Times New Roman" w:hAnsi="Times New Roman" w:cs="Times New Roman"/>
          <w:sz w:val="24"/>
          <w:szCs w:val="24"/>
        </w:rPr>
        <w:t xml:space="preserve">; </w:t>
      </w:r>
    </w:p>
    <w:p w14:paraId="2B1B243F" w14:textId="029B5A45" w:rsidR="009F75E4" w:rsidRDefault="009F75E4" w:rsidP="009F75E4">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Buprenorphine Practitioner Locator: </w:t>
      </w:r>
      <w:hyperlink r:id="rId18" w:history="1">
        <w:r w:rsidRPr="00E443D4">
          <w:rPr>
            <w:rStyle w:val="Hyperlink"/>
            <w:rFonts w:ascii="Times New Roman" w:hAnsi="Times New Roman" w:cs="Times New Roman"/>
            <w:sz w:val="24"/>
            <w:szCs w:val="24"/>
          </w:rPr>
          <w:t>https://www.samhsa.gov/medication-assisted-treatment/practitioner-program-data/treatment-practitioner-locator</w:t>
        </w:r>
      </w:hyperlink>
      <w:r>
        <w:rPr>
          <w:rFonts w:ascii="Times New Roman" w:hAnsi="Times New Roman" w:cs="Times New Roman"/>
          <w:sz w:val="24"/>
          <w:szCs w:val="24"/>
        </w:rPr>
        <w:t>; and,</w:t>
      </w:r>
    </w:p>
    <w:p w14:paraId="1CE2B773" w14:textId="3E362246" w:rsidR="009F75E4" w:rsidRPr="00E347E2" w:rsidRDefault="009F75E4" w:rsidP="00E347E2">
      <w:pPr>
        <w:pStyle w:val="ListParagraph"/>
        <w:numPr>
          <w:ilvl w:val="0"/>
          <w:numId w:val="19"/>
        </w:numPr>
        <w:spacing w:after="0" w:line="240" w:lineRule="auto"/>
        <w:rPr>
          <w:rFonts w:ascii="Times New Roman" w:hAnsi="Times New Roman"/>
          <w:sz w:val="24"/>
        </w:rPr>
      </w:pPr>
      <w:r>
        <w:rPr>
          <w:rFonts w:ascii="Times New Roman" w:hAnsi="Times New Roman" w:cs="Times New Roman"/>
          <w:sz w:val="24"/>
          <w:szCs w:val="24"/>
        </w:rPr>
        <w:t xml:space="preserve">The Opioid Treatment Program Directory: </w:t>
      </w:r>
      <w:hyperlink r:id="rId19" w:history="1">
        <w:r w:rsidRPr="00E443D4">
          <w:rPr>
            <w:rStyle w:val="Hyperlink"/>
            <w:rFonts w:ascii="Times New Roman" w:hAnsi="Times New Roman" w:cs="Times New Roman"/>
            <w:sz w:val="24"/>
            <w:szCs w:val="24"/>
          </w:rPr>
          <w:t>https://dpt2.samhsa.gov/treatment/</w:t>
        </w:r>
      </w:hyperlink>
      <w:r>
        <w:rPr>
          <w:rFonts w:ascii="Times New Roman" w:hAnsi="Times New Roman" w:cs="Times New Roman"/>
          <w:sz w:val="24"/>
          <w:szCs w:val="24"/>
        </w:rPr>
        <w:t xml:space="preserve">. </w:t>
      </w:r>
    </w:p>
    <w:p w14:paraId="354DDBCE" w14:textId="77777777" w:rsidR="00107231" w:rsidRPr="00806A79" w:rsidRDefault="00107231" w:rsidP="000D71B0">
      <w:pPr>
        <w:spacing w:after="0" w:line="240" w:lineRule="auto"/>
        <w:rPr>
          <w:rFonts w:ascii="Times New Roman" w:hAnsi="Times New Roman" w:cs="Times New Roman"/>
          <w:sz w:val="24"/>
          <w:szCs w:val="24"/>
        </w:rPr>
      </w:pPr>
    </w:p>
    <w:p w14:paraId="2F9BDB5E" w14:textId="56CFDB7B" w:rsidR="00107231" w:rsidRPr="00806A79" w:rsidRDefault="00107231" w:rsidP="000D71B0">
      <w:pPr>
        <w:spacing w:after="0" w:line="240" w:lineRule="auto"/>
        <w:ind w:firstLine="720"/>
        <w:rPr>
          <w:rFonts w:ascii="Times New Roman" w:hAnsi="Times New Roman" w:cs="Times New Roman"/>
          <w:sz w:val="24"/>
          <w:szCs w:val="24"/>
        </w:rPr>
      </w:pPr>
      <w:r w:rsidRPr="00806A79">
        <w:rPr>
          <w:rFonts w:ascii="Times New Roman" w:hAnsi="Times New Roman" w:cs="Times New Roman"/>
          <w:sz w:val="24"/>
          <w:szCs w:val="24"/>
        </w:rPr>
        <w:t xml:space="preserve">A focus on individual substances or sequential treatment of each substance </w:t>
      </w:r>
      <w:r w:rsidR="002038E6">
        <w:rPr>
          <w:rFonts w:ascii="Times New Roman" w:hAnsi="Times New Roman" w:cs="Times New Roman"/>
          <w:sz w:val="24"/>
          <w:szCs w:val="24"/>
        </w:rPr>
        <w:t>would not be effective. Most substance use disorder treatment programs are designed and equipped to treat co-occurring substance use disorders</w:t>
      </w:r>
      <w:r w:rsidR="0085127F">
        <w:rPr>
          <w:rFonts w:ascii="Times New Roman" w:hAnsi="Times New Roman" w:cs="Times New Roman"/>
          <w:sz w:val="24"/>
          <w:szCs w:val="24"/>
        </w:rPr>
        <w:t xml:space="preserve">, although there are effective substance-specific approaches, such as medications for opioid use disorder (MOUD), which can be offered at any level of care and can be combined with behavioral and psychosocial interventions, such as cognitive-behavioral therapy, motivational interventions and/or 12 step facilitation. </w:t>
      </w:r>
      <w:r w:rsidRPr="00806A79">
        <w:rPr>
          <w:rFonts w:ascii="Times New Roman" w:hAnsi="Times New Roman" w:cs="Times New Roman"/>
          <w:sz w:val="24"/>
          <w:szCs w:val="24"/>
        </w:rPr>
        <w:t xml:space="preserve">For example, an individual with concurrent opioid, stimulant, and marijuana use disorder may receive psychological treatment (such as cognitive behavioral therapy). </w:t>
      </w:r>
      <w:r w:rsidR="0085127F">
        <w:rPr>
          <w:rFonts w:ascii="Times New Roman" w:hAnsi="Times New Roman" w:cs="Times New Roman"/>
          <w:sz w:val="24"/>
          <w:szCs w:val="24"/>
        </w:rPr>
        <w:t>When a single provider is unable to provide the full range of services needed, the quality and effectiveness of care can decline—especially if the result is sequential, drug-specific care episodes rather than comprehensive, fully integrated care.</w:t>
      </w:r>
    </w:p>
    <w:p w14:paraId="00804ACA" w14:textId="77777777" w:rsidR="000D71B0" w:rsidRPr="00806A79" w:rsidRDefault="000D71B0" w:rsidP="000D71B0">
      <w:pPr>
        <w:spacing w:after="0" w:line="240" w:lineRule="auto"/>
        <w:ind w:firstLine="720"/>
        <w:rPr>
          <w:rFonts w:ascii="Times New Roman" w:hAnsi="Times New Roman" w:cs="Times New Roman"/>
          <w:sz w:val="24"/>
          <w:szCs w:val="24"/>
        </w:rPr>
      </w:pPr>
    </w:p>
    <w:p w14:paraId="26348F28" w14:textId="0F588708" w:rsidR="001474EA" w:rsidRPr="00806A79" w:rsidRDefault="00107231" w:rsidP="00755847">
      <w:pPr>
        <w:spacing w:after="0" w:line="240" w:lineRule="auto"/>
        <w:ind w:firstLine="720"/>
        <w:rPr>
          <w:rFonts w:ascii="Times New Roman" w:hAnsi="Times New Roman" w:cs="Times New Roman"/>
          <w:sz w:val="24"/>
          <w:szCs w:val="24"/>
        </w:rPr>
      </w:pPr>
      <w:r w:rsidRPr="00806A79">
        <w:rPr>
          <w:rFonts w:ascii="Times New Roman" w:hAnsi="Times New Roman" w:cs="Times New Roman"/>
          <w:sz w:val="24"/>
          <w:szCs w:val="24"/>
        </w:rPr>
        <w:t xml:space="preserve">Through a literature review and consensus from technical experts, SAMHSA </w:t>
      </w:r>
      <w:r w:rsidR="0085127F">
        <w:rPr>
          <w:rFonts w:ascii="Times New Roman" w:hAnsi="Times New Roman" w:cs="Times New Roman"/>
          <w:sz w:val="24"/>
          <w:szCs w:val="24"/>
        </w:rPr>
        <w:t xml:space="preserve">has </w:t>
      </w:r>
      <w:r w:rsidRPr="00806A79">
        <w:rPr>
          <w:rFonts w:ascii="Times New Roman" w:hAnsi="Times New Roman" w:cs="Times New Roman"/>
          <w:sz w:val="24"/>
          <w:szCs w:val="24"/>
        </w:rPr>
        <w:t xml:space="preserve">identified three effective practices used to treat </w:t>
      </w:r>
      <w:r w:rsidR="0085127F">
        <w:rPr>
          <w:rFonts w:ascii="Times New Roman" w:hAnsi="Times New Roman" w:cs="Times New Roman"/>
          <w:sz w:val="24"/>
          <w:szCs w:val="24"/>
        </w:rPr>
        <w:t xml:space="preserve">adult </w:t>
      </w:r>
      <w:r w:rsidRPr="00806A79">
        <w:rPr>
          <w:rFonts w:ascii="Times New Roman" w:hAnsi="Times New Roman" w:cs="Times New Roman"/>
          <w:sz w:val="24"/>
          <w:szCs w:val="24"/>
        </w:rPr>
        <w:t xml:space="preserve">polysubstance misuse </w:t>
      </w:r>
      <w:r w:rsidR="0085127F">
        <w:rPr>
          <w:rFonts w:ascii="Times New Roman" w:hAnsi="Times New Roman" w:cs="Times New Roman"/>
          <w:sz w:val="24"/>
          <w:szCs w:val="24"/>
        </w:rPr>
        <w:t xml:space="preserve">involving </w:t>
      </w:r>
      <w:r w:rsidR="00423BFE">
        <w:rPr>
          <w:rFonts w:ascii="Times New Roman" w:hAnsi="Times New Roman" w:cs="Times New Roman"/>
          <w:sz w:val="24"/>
          <w:szCs w:val="24"/>
        </w:rPr>
        <w:t>combinations of alcohol</w:t>
      </w:r>
      <w:r w:rsidR="00970A3A">
        <w:rPr>
          <w:rFonts w:ascii="Times New Roman" w:hAnsi="Times New Roman" w:cs="Times New Roman"/>
          <w:sz w:val="24"/>
          <w:szCs w:val="24"/>
        </w:rPr>
        <w:t xml:space="preserve"> and</w:t>
      </w:r>
      <w:r w:rsidR="00423BFE">
        <w:rPr>
          <w:rFonts w:ascii="Times New Roman" w:hAnsi="Times New Roman" w:cs="Times New Roman"/>
          <w:sz w:val="24"/>
          <w:szCs w:val="24"/>
        </w:rPr>
        <w:t xml:space="preserve"> cocaine </w:t>
      </w:r>
      <w:r w:rsidR="00970A3A">
        <w:rPr>
          <w:rFonts w:ascii="Times New Roman" w:hAnsi="Times New Roman" w:cs="Times New Roman"/>
          <w:sz w:val="24"/>
          <w:szCs w:val="24"/>
        </w:rPr>
        <w:t xml:space="preserve">(pharmacotherapy and counseling), and combinations of cocaine, alcohol and </w:t>
      </w:r>
      <w:r w:rsidR="00423BFE">
        <w:rPr>
          <w:rFonts w:ascii="Times New Roman" w:hAnsi="Times New Roman" w:cs="Times New Roman"/>
          <w:sz w:val="24"/>
          <w:szCs w:val="24"/>
        </w:rPr>
        <w:t>opioids</w:t>
      </w:r>
      <w:r w:rsidR="00970A3A">
        <w:rPr>
          <w:rFonts w:ascii="Times New Roman" w:hAnsi="Times New Roman" w:cs="Times New Roman"/>
          <w:sz w:val="24"/>
          <w:szCs w:val="24"/>
        </w:rPr>
        <w:t xml:space="preserve"> (contingency management with pharmacotherapy and counseling, and t</w:t>
      </w:r>
      <w:r w:rsidR="00970A3A" w:rsidRPr="00970A3A">
        <w:rPr>
          <w:rFonts w:ascii="Times New Roman" w:hAnsi="Times New Roman" w:cs="Times New Roman"/>
          <w:sz w:val="24"/>
          <w:szCs w:val="24"/>
        </w:rPr>
        <w:t>welve-</w:t>
      </w:r>
      <w:r w:rsidR="00970A3A">
        <w:rPr>
          <w:rFonts w:ascii="Times New Roman" w:hAnsi="Times New Roman" w:cs="Times New Roman"/>
          <w:sz w:val="24"/>
          <w:szCs w:val="24"/>
        </w:rPr>
        <w:t>s</w:t>
      </w:r>
      <w:r w:rsidR="00970A3A" w:rsidRPr="00970A3A">
        <w:rPr>
          <w:rFonts w:ascii="Times New Roman" w:hAnsi="Times New Roman" w:cs="Times New Roman"/>
          <w:sz w:val="24"/>
          <w:szCs w:val="24"/>
        </w:rPr>
        <w:t>tep facilitation</w:t>
      </w:r>
      <w:r w:rsidR="00970A3A">
        <w:rPr>
          <w:rFonts w:ascii="Times New Roman" w:hAnsi="Times New Roman" w:cs="Times New Roman"/>
          <w:sz w:val="24"/>
          <w:szCs w:val="24"/>
        </w:rPr>
        <w:t xml:space="preserve"> </w:t>
      </w:r>
      <w:r w:rsidR="00970A3A" w:rsidRPr="00970A3A">
        <w:rPr>
          <w:rFonts w:ascii="Times New Roman" w:hAnsi="Times New Roman" w:cs="Times New Roman"/>
          <w:sz w:val="24"/>
          <w:szCs w:val="24"/>
        </w:rPr>
        <w:t>therapy with</w:t>
      </w:r>
      <w:r w:rsidR="00970A3A">
        <w:rPr>
          <w:rFonts w:ascii="Times New Roman" w:hAnsi="Times New Roman" w:cs="Times New Roman"/>
          <w:sz w:val="24"/>
          <w:szCs w:val="24"/>
        </w:rPr>
        <w:t xml:space="preserve"> </w:t>
      </w:r>
      <w:r w:rsidR="00970A3A" w:rsidRPr="00970A3A">
        <w:rPr>
          <w:rFonts w:ascii="Times New Roman" w:hAnsi="Times New Roman" w:cs="Times New Roman"/>
          <w:sz w:val="24"/>
          <w:szCs w:val="24"/>
        </w:rPr>
        <w:t>pharmacotherapy and</w:t>
      </w:r>
      <w:r w:rsidR="00970A3A">
        <w:rPr>
          <w:rFonts w:ascii="Times New Roman" w:hAnsi="Times New Roman" w:cs="Times New Roman"/>
          <w:sz w:val="24"/>
          <w:szCs w:val="24"/>
        </w:rPr>
        <w:t xml:space="preserve"> </w:t>
      </w:r>
      <w:r w:rsidR="00970A3A" w:rsidRPr="00970A3A">
        <w:rPr>
          <w:rFonts w:ascii="Times New Roman" w:hAnsi="Times New Roman" w:cs="Times New Roman"/>
          <w:sz w:val="24"/>
          <w:szCs w:val="24"/>
        </w:rPr>
        <w:t>counseling</w:t>
      </w:r>
      <w:r w:rsidR="00970A3A">
        <w:rPr>
          <w:rFonts w:ascii="Times New Roman" w:hAnsi="Times New Roman" w:cs="Times New Roman"/>
          <w:sz w:val="24"/>
          <w:szCs w:val="24"/>
        </w:rPr>
        <w:t>)</w:t>
      </w:r>
      <w:r w:rsidR="00423BFE">
        <w:rPr>
          <w:rFonts w:ascii="Times New Roman" w:hAnsi="Times New Roman" w:cs="Times New Roman"/>
          <w:sz w:val="24"/>
          <w:szCs w:val="24"/>
        </w:rPr>
        <w:t>.</w:t>
      </w:r>
      <w:r w:rsidR="000D71B0" w:rsidRPr="00806A79">
        <w:rPr>
          <w:rFonts w:ascii="Times New Roman" w:hAnsi="Times New Roman" w:cs="Times New Roman"/>
          <w:sz w:val="24"/>
          <w:szCs w:val="24"/>
        </w:rPr>
        <w:t xml:space="preserve"> These are (1) </w:t>
      </w:r>
      <w:r w:rsidRPr="00806A79">
        <w:rPr>
          <w:rFonts w:ascii="Times New Roman" w:hAnsi="Times New Roman" w:cs="Times New Roman"/>
          <w:sz w:val="24"/>
          <w:szCs w:val="24"/>
        </w:rPr>
        <w:t>FDA-</w:t>
      </w:r>
      <w:r w:rsidRPr="00806A79">
        <w:rPr>
          <w:rFonts w:ascii="Times New Roman" w:hAnsi="Times New Roman" w:cs="Times New Roman"/>
          <w:sz w:val="24"/>
          <w:szCs w:val="24"/>
        </w:rPr>
        <w:lastRenderedPageBreak/>
        <w:t>approved pharmacotherapy with counseling</w:t>
      </w:r>
      <w:r w:rsidR="00423BFE">
        <w:rPr>
          <w:rStyle w:val="FootnoteReference"/>
          <w:rFonts w:ascii="Times New Roman" w:hAnsi="Times New Roman" w:cs="Times New Roman"/>
          <w:sz w:val="24"/>
          <w:szCs w:val="24"/>
        </w:rPr>
        <w:footnoteReference w:id="2"/>
      </w:r>
      <w:r w:rsidR="00423BFE">
        <w:rPr>
          <w:rFonts w:ascii="Times New Roman" w:hAnsi="Times New Roman" w:cs="Times New Roman"/>
          <w:sz w:val="24"/>
          <w:szCs w:val="24"/>
          <w:vertAlign w:val="superscript"/>
        </w:rPr>
        <w:t>,</w:t>
      </w:r>
      <w:r w:rsidR="00423BFE">
        <w:rPr>
          <w:rStyle w:val="FootnoteReference"/>
          <w:rFonts w:ascii="Times New Roman" w:hAnsi="Times New Roman" w:cs="Times New Roman"/>
          <w:sz w:val="24"/>
          <w:szCs w:val="24"/>
        </w:rPr>
        <w:footnoteReference w:id="3"/>
      </w:r>
      <w:r w:rsidR="00423BFE">
        <w:rPr>
          <w:rFonts w:ascii="Times New Roman" w:hAnsi="Times New Roman" w:cs="Times New Roman"/>
          <w:sz w:val="24"/>
          <w:szCs w:val="24"/>
          <w:vertAlign w:val="superscript"/>
        </w:rPr>
        <w:t>,</w:t>
      </w:r>
      <w:r w:rsidR="00423BFE">
        <w:rPr>
          <w:rStyle w:val="FootnoteReference"/>
          <w:rFonts w:ascii="Times New Roman" w:hAnsi="Times New Roman" w:cs="Times New Roman"/>
          <w:sz w:val="24"/>
          <w:szCs w:val="24"/>
        </w:rPr>
        <w:footnoteReference w:id="4"/>
      </w:r>
      <w:r w:rsidR="000D71B0" w:rsidRPr="00806A79">
        <w:rPr>
          <w:rFonts w:ascii="Times New Roman" w:hAnsi="Times New Roman" w:cs="Times New Roman"/>
          <w:sz w:val="24"/>
          <w:szCs w:val="24"/>
        </w:rPr>
        <w:t>; (2)</w:t>
      </w:r>
      <w:r w:rsidRPr="00806A79">
        <w:rPr>
          <w:rFonts w:ascii="Times New Roman" w:hAnsi="Times New Roman" w:cs="Times New Roman"/>
          <w:sz w:val="24"/>
          <w:szCs w:val="24"/>
        </w:rPr>
        <w:t xml:space="preserve"> Contingency management with FDA-approved pharmacotherapy and counseling</w:t>
      </w:r>
      <w:r w:rsidR="00423BFE">
        <w:rPr>
          <w:rStyle w:val="FootnoteReference"/>
          <w:rFonts w:ascii="Times New Roman" w:hAnsi="Times New Roman" w:cs="Times New Roman"/>
          <w:sz w:val="24"/>
          <w:szCs w:val="24"/>
        </w:rPr>
        <w:footnoteReference w:id="5"/>
      </w:r>
      <w:r w:rsidR="00423BFE">
        <w:rPr>
          <w:rFonts w:ascii="Times New Roman" w:hAnsi="Times New Roman" w:cs="Times New Roman"/>
          <w:sz w:val="24"/>
          <w:szCs w:val="24"/>
          <w:vertAlign w:val="superscript"/>
        </w:rPr>
        <w:t>,</w:t>
      </w:r>
      <w:r w:rsidR="00423BFE">
        <w:rPr>
          <w:rStyle w:val="FootnoteReference"/>
          <w:rFonts w:ascii="Times New Roman" w:hAnsi="Times New Roman" w:cs="Times New Roman"/>
          <w:sz w:val="24"/>
          <w:szCs w:val="24"/>
        </w:rPr>
        <w:footnoteReference w:id="6"/>
      </w:r>
      <w:r w:rsidR="00423BFE">
        <w:rPr>
          <w:rFonts w:ascii="Times New Roman" w:hAnsi="Times New Roman" w:cs="Times New Roman"/>
          <w:sz w:val="24"/>
          <w:szCs w:val="24"/>
          <w:vertAlign w:val="superscript"/>
        </w:rPr>
        <w:t>,</w:t>
      </w:r>
      <w:r w:rsidR="00423BFE">
        <w:rPr>
          <w:rStyle w:val="FootnoteReference"/>
          <w:rFonts w:ascii="Times New Roman" w:hAnsi="Times New Roman" w:cs="Times New Roman"/>
          <w:sz w:val="24"/>
          <w:szCs w:val="24"/>
        </w:rPr>
        <w:footnoteReference w:id="7"/>
      </w:r>
      <w:r w:rsidR="000D71B0" w:rsidRPr="00806A79">
        <w:rPr>
          <w:rFonts w:ascii="Times New Roman" w:hAnsi="Times New Roman" w:cs="Times New Roman"/>
          <w:sz w:val="24"/>
          <w:szCs w:val="24"/>
        </w:rPr>
        <w:t xml:space="preserve">, and (3) </w:t>
      </w:r>
      <w:r w:rsidRPr="00806A79">
        <w:rPr>
          <w:rFonts w:ascii="Times New Roman" w:hAnsi="Times New Roman" w:cs="Times New Roman"/>
          <w:sz w:val="24"/>
          <w:szCs w:val="24"/>
        </w:rPr>
        <w:t>Twelve-step facilitation (TSF) therapy with FDA-approved pharmacotherapy</w:t>
      </w:r>
      <w:r w:rsidR="00423BFE">
        <w:rPr>
          <w:rStyle w:val="FootnoteReference"/>
          <w:rFonts w:ascii="Times New Roman" w:hAnsi="Times New Roman" w:cs="Times New Roman"/>
          <w:sz w:val="24"/>
          <w:szCs w:val="24"/>
        </w:rPr>
        <w:footnoteReference w:id="8"/>
      </w:r>
      <w:r w:rsidR="00423BFE">
        <w:rPr>
          <w:rFonts w:ascii="Times New Roman" w:hAnsi="Times New Roman" w:cs="Times New Roman"/>
          <w:sz w:val="24"/>
          <w:szCs w:val="24"/>
          <w:vertAlign w:val="superscript"/>
        </w:rPr>
        <w:t>,</w:t>
      </w:r>
      <w:r w:rsidR="00423BFE">
        <w:rPr>
          <w:rStyle w:val="FootnoteReference"/>
          <w:rFonts w:ascii="Times New Roman" w:hAnsi="Times New Roman" w:cs="Times New Roman"/>
          <w:sz w:val="24"/>
          <w:szCs w:val="24"/>
        </w:rPr>
        <w:footnoteReference w:id="9"/>
      </w:r>
      <w:r w:rsidR="000D71B0" w:rsidRPr="00806A79">
        <w:rPr>
          <w:rFonts w:ascii="Times New Roman" w:hAnsi="Times New Roman" w:cs="Times New Roman"/>
          <w:sz w:val="24"/>
          <w:szCs w:val="24"/>
        </w:rPr>
        <w:t xml:space="preserve">. </w:t>
      </w:r>
      <w:r w:rsidRPr="00806A79">
        <w:rPr>
          <w:rFonts w:ascii="Times New Roman" w:hAnsi="Times New Roman" w:cs="Times New Roman"/>
          <w:sz w:val="24"/>
          <w:szCs w:val="24"/>
        </w:rPr>
        <w:t>These treatments should be delivered in a patient-centered and integrated manner in order to achieve the best outcomes. Many facilities offer such treatments, and they demonstrate a high level of success.</w:t>
      </w:r>
      <w:r w:rsidR="00755847" w:rsidRPr="00806A79">
        <w:rPr>
          <w:rFonts w:ascii="Times New Roman" w:hAnsi="Times New Roman" w:cs="Times New Roman"/>
          <w:sz w:val="24"/>
          <w:szCs w:val="24"/>
        </w:rPr>
        <w:t xml:space="preserve"> </w:t>
      </w:r>
      <w:r w:rsidR="001474EA" w:rsidRPr="00806A79">
        <w:rPr>
          <w:rFonts w:ascii="Times New Roman" w:hAnsi="Times New Roman" w:cs="Times New Roman"/>
          <w:sz w:val="24"/>
          <w:szCs w:val="24"/>
        </w:rPr>
        <w:t>It is important to note that in practice our grantees have been implanting these principles. For example, evidence</w:t>
      </w:r>
      <w:r w:rsidR="00857A37">
        <w:rPr>
          <w:rFonts w:ascii="Times New Roman" w:hAnsi="Times New Roman" w:cs="Times New Roman"/>
          <w:sz w:val="24"/>
          <w:szCs w:val="24"/>
        </w:rPr>
        <w:t>-</w:t>
      </w:r>
      <w:r w:rsidR="001474EA" w:rsidRPr="00806A79">
        <w:rPr>
          <w:rFonts w:ascii="Times New Roman" w:hAnsi="Times New Roman" w:cs="Times New Roman"/>
          <w:sz w:val="24"/>
          <w:szCs w:val="24"/>
        </w:rPr>
        <w:t xml:space="preserve">based practices like contingency management are utilized for those using psychostimulants in addition to the treatment received for opioid use disorder and FDA approved medications for alcohol use disorder are often prescribed concurrently with medications for opioid use disorder in patients with dependence on both substances. </w:t>
      </w:r>
    </w:p>
    <w:p w14:paraId="5778F020" w14:textId="77777777" w:rsidR="00107231" w:rsidRPr="00806A79" w:rsidRDefault="00107231" w:rsidP="000D71B0">
      <w:pPr>
        <w:spacing w:after="0" w:line="240" w:lineRule="auto"/>
        <w:rPr>
          <w:rFonts w:ascii="Times New Roman" w:hAnsi="Times New Roman" w:cs="Times New Roman"/>
          <w:sz w:val="24"/>
          <w:szCs w:val="24"/>
        </w:rPr>
      </w:pPr>
    </w:p>
    <w:p w14:paraId="21CD9CD0" w14:textId="77777777" w:rsidR="000D71B0" w:rsidRPr="00806A79" w:rsidRDefault="000D71B0" w:rsidP="000D71B0">
      <w:pPr>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What has been effective and where is there room to improve?</w:t>
      </w:r>
    </w:p>
    <w:p w14:paraId="37D36EE2" w14:textId="77777777" w:rsidR="000D71B0" w:rsidRPr="00806A79" w:rsidRDefault="000D71B0" w:rsidP="000D71B0">
      <w:pPr>
        <w:spacing w:after="0" w:line="240" w:lineRule="auto"/>
        <w:rPr>
          <w:rFonts w:ascii="Times New Roman" w:hAnsi="Times New Roman" w:cs="Times New Roman"/>
          <w:b/>
          <w:bCs/>
          <w:sz w:val="24"/>
          <w:szCs w:val="24"/>
        </w:rPr>
      </w:pPr>
    </w:p>
    <w:p w14:paraId="1A7BACCA" w14:textId="22193033" w:rsidR="00107231" w:rsidRPr="00806A79" w:rsidRDefault="00107231" w:rsidP="000D71B0">
      <w:pPr>
        <w:spacing w:after="0" w:line="240" w:lineRule="auto"/>
        <w:ind w:firstLine="720"/>
        <w:rPr>
          <w:rFonts w:ascii="Times New Roman" w:hAnsi="Times New Roman" w:cs="Times New Roman"/>
          <w:sz w:val="24"/>
          <w:szCs w:val="24"/>
        </w:rPr>
      </w:pPr>
      <w:r w:rsidRPr="00806A79">
        <w:rPr>
          <w:rFonts w:ascii="Times New Roman" w:hAnsi="Times New Roman" w:cs="Times New Roman"/>
          <w:sz w:val="24"/>
          <w:szCs w:val="24"/>
        </w:rPr>
        <w:t xml:space="preserve">While care coordination and integration of services has demonstrated success in treating polysubstance misuse, fragmented systems of care found in many areas of the nation represent a barrier to managing the inherent difficulties and complexities experienced by individuals with polysubstance </w:t>
      </w:r>
      <w:r w:rsidR="009C7548">
        <w:rPr>
          <w:rFonts w:ascii="Times New Roman" w:hAnsi="Times New Roman" w:cs="Times New Roman"/>
          <w:sz w:val="24"/>
          <w:szCs w:val="24"/>
        </w:rPr>
        <w:t>use disorders</w:t>
      </w:r>
      <w:r w:rsidRPr="00806A79">
        <w:rPr>
          <w:rFonts w:ascii="Times New Roman" w:hAnsi="Times New Roman" w:cs="Times New Roman"/>
          <w:sz w:val="24"/>
          <w:szCs w:val="24"/>
        </w:rPr>
        <w:t xml:space="preserve">. Effective treatment requires customized and coordinated care, which can often be challenging to access and have limited availability. </w:t>
      </w:r>
    </w:p>
    <w:p w14:paraId="686E3506" w14:textId="77777777" w:rsidR="000D71B0" w:rsidRPr="00806A79" w:rsidRDefault="000D71B0" w:rsidP="000D71B0">
      <w:pPr>
        <w:spacing w:after="0" w:line="240" w:lineRule="auto"/>
        <w:ind w:firstLine="720"/>
        <w:rPr>
          <w:rFonts w:ascii="Times New Roman" w:hAnsi="Times New Roman" w:cs="Times New Roman"/>
          <w:sz w:val="24"/>
          <w:szCs w:val="24"/>
        </w:rPr>
      </w:pPr>
    </w:p>
    <w:p w14:paraId="4700957C" w14:textId="3287EA94" w:rsidR="00107231" w:rsidRPr="00806A79" w:rsidRDefault="00107231" w:rsidP="000D71B0">
      <w:pPr>
        <w:spacing w:after="0" w:line="240" w:lineRule="auto"/>
        <w:ind w:firstLine="720"/>
        <w:rPr>
          <w:rFonts w:ascii="Times New Roman" w:hAnsi="Times New Roman" w:cs="Times New Roman"/>
          <w:sz w:val="24"/>
          <w:szCs w:val="24"/>
        </w:rPr>
      </w:pPr>
      <w:r w:rsidRPr="00806A79">
        <w:rPr>
          <w:rFonts w:ascii="Times New Roman" w:hAnsi="Times New Roman" w:cs="Times New Roman"/>
          <w:sz w:val="24"/>
          <w:szCs w:val="24"/>
        </w:rPr>
        <w:t xml:space="preserve">Considering the breadth and complexity </w:t>
      </w:r>
      <w:r w:rsidR="009C7548">
        <w:rPr>
          <w:rFonts w:ascii="Times New Roman" w:hAnsi="Times New Roman" w:cs="Times New Roman"/>
          <w:sz w:val="24"/>
          <w:szCs w:val="24"/>
        </w:rPr>
        <w:t>of challenges often associated</w:t>
      </w:r>
      <w:r w:rsidRPr="00806A79">
        <w:rPr>
          <w:rFonts w:ascii="Times New Roman" w:hAnsi="Times New Roman" w:cs="Times New Roman"/>
          <w:sz w:val="24"/>
          <w:szCs w:val="24"/>
        </w:rPr>
        <w:t xml:space="preserve"> </w:t>
      </w:r>
      <w:r w:rsidR="0024639C">
        <w:rPr>
          <w:rFonts w:ascii="Times New Roman" w:hAnsi="Times New Roman" w:cs="Times New Roman"/>
          <w:sz w:val="24"/>
          <w:szCs w:val="24"/>
        </w:rPr>
        <w:t xml:space="preserve">with </w:t>
      </w:r>
      <w:r w:rsidRPr="00806A79">
        <w:rPr>
          <w:rFonts w:ascii="Times New Roman" w:hAnsi="Times New Roman" w:cs="Times New Roman"/>
          <w:sz w:val="24"/>
          <w:szCs w:val="24"/>
        </w:rPr>
        <w:t xml:space="preserve">polysubstance </w:t>
      </w:r>
      <w:r w:rsidR="009C7548">
        <w:rPr>
          <w:rFonts w:ascii="Times New Roman" w:hAnsi="Times New Roman" w:cs="Times New Roman"/>
          <w:sz w:val="24"/>
          <w:szCs w:val="24"/>
        </w:rPr>
        <w:t>use disorders</w:t>
      </w:r>
      <w:r w:rsidRPr="00806A79">
        <w:rPr>
          <w:rFonts w:ascii="Times New Roman" w:hAnsi="Times New Roman" w:cs="Times New Roman"/>
          <w:sz w:val="24"/>
          <w:szCs w:val="24"/>
        </w:rPr>
        <w:t xml:space="preserve">, well-coordinated treatment encompassing social, behavioral health, and medical services in a single setting is advantageous. Co-location could lead to greater service utilization and positive outcomes by employing case managers to provide clients with a range of needed psychosocial services (e.g., transportation, employment assistance, legal assistance, childcare, food, and housing assistance). Once trust and rapport are established and their most </w:t>
      </w:r>
      <w:r w:rsidRPr="00806A79">
        <w:rPr>
          <w:rFonts w:ascii="Times New Roman" w:hAnsi="Times New Roman" w:cs="Times New Roman"/>
          <w:sz w:val="24"/>
          <w:szCs w:val="24"/>
        </w:rPr>
        <w:lastRenderedPageBreak/>
        <w:t xml:space="preserve">pressing underlying needs are met, </w:t>
      </w:r>
      <w:r w:rsidR="009C7548">
        <w:rPr>
          <w:rFonts w:ascii="Times New Roman" w:hAnsi="Times New Roman" w:cs="Times New Roman"/>
          <w:sz w:val="24"/>
          <w:szCs w:val="24"/>
        </w:rPr>
        <w:t>patients</w:t>
      </w:r>
      <w:r w:rsidR="009C7548" w:rsidRPr="00806A79">
        <w:rPr>
          <w:rFonts w:ascii="Times New Roman" w:hAnsi="Times New Roman" w:cs="Times New Roman"/>
          <w:sz w:val="24"/>
          <w:szCs w:val="24"/>
        </w:rPr>
        <w:t xml:space="preserve"> </w:t>
      </w:r>
      <w:r w:rsidRPr="00806A79">
        <w:rPr>
          <w:rFonts w:ascii="Times New Roman" w:hAnsi="Times New Roman" w:cs="Times New Roman"/>
          <w:sz w:val="24"/>
          <w:szCs w:val="24"/>
        </w:rPr>
        <w:t>may be more likely to seek in-house medical and behavioral health care.</w:t>
      </w:r>
    </w:p>
    <w:p w14:paraId="63C9E53B" w14:textId="77777777" w:rsidR="000D71B0" w:rsidRPr="00806A79" w:rsidRDefault="000D71B0" w:rsidP="000D71B0">
      <w:pPr>
        <w:spacing w:after="0" w:line="240" w:lineRule="auto"/>
        <w:rPr>
          <w:rFonts w:ascii="Times New Roman" w:hAnsi="Times New Roman" w:cs="Times New Roman"/>
          <w:sz w:val="24"/>
          <w:szCs w:val="24"/>
        </w:rPr>
      </w:pPr>
    </w:p>
    <w:p w14:paraId="75C04786" w14:textId="41CF9A08" w:rsidR="00107231" w:rsidRPr="00806A79" w:rsidRDefault="00107231" w:rsidP="000D71B0">
      <w:pPr>
        <w:spacing w:after="0" w:line="240" w:lineRule="auto"/>
        <w:ind w:firstLine="720"/>
        <w:rPr>
          <w:rFonts w:ascii="Times New Roman" w:hAnsi="Times New Roman" w:cs="Times New Roman"/>
          <w:sz w:val="24"/>
          <w:szCs w:val="24"/>
        </w:rPr>
      </w:pPr>
      <w:r w:rsidRPr="00806A79">
        <w:rPr>
          <w:rFonts w:ascii="Times New Roman" w:hAnsi="Times New Roman" w:cs="Times New Roman"/>
          <w:sz w:val="24"/>
          <w:szCs w:val="24"/>
        </w:rPr>
        <w:t xml:space="preserve">Although the body of research is growing, providers continue to face the challenge of limited evidence, particularly from randomized controlled trials, when selecting programs to treat polysubstance misuse in adults. </w:t>
      </w:r>
      <w:r w:rsidR="009C7548">
        <w:rPr>
          <w:rFonts w:ascii="Times New Roman" w:hAnsi="Times New Roman" w:cs="Times New Roman"/>
          <w:sz w:val="24"/>
          <w:szCs w:val="24"/>
        </w:rPr>
        <w:t>Additionally, t</w:t>
      </w:r>
      <w:r w:rsidR="009C7548" w:rsidRPr="00806A79">
        <w:rPr>
          <w:rFonts w:ascii="Times New Roman" w:hAnsi="Times New Roman" w:cs="Times New Roman"/>
          <w:sz w:val="24"/>
          <w:szCs w:val="24"/>
        </w:rPr>
        <w:t xml:space="preserve">here </w:t>
      </w:r>
      <w:r w:rsidRPr="00806A79">
        <w:rPr>
          <w:rFonts w:ascii="Times New Roman" w:hAnsi="Times New Roman" w:cs="Times New Roman"/>
          <w:sz w:val="24"/>
          <w:szCs w:val="24"/>
        </w:rPr>
        <w:t xml:space="preserve">are multiple treatment practices </w:t>
      </w:r>
      <w:r w:rsidR="009C7548">
        <w:rPr>
          <w:rFonts w:ascii="Times New Roman" w:hAnsi="Times New Roman" w:cs="Times New Roman"/>
          <w:sz w:val="24"/>
          <w:szCs w:val="24"/>
        </w:rPr>
        <w:t xml:space="preserve">that have been studied </w:t>
      </w:r>
      <w:r w:rsidRPr="00806A79">
        <w:rPr>
          <w:rFonts w:ascii="Times New Roman" w:hAnsi="Times New Roman" w:cs="Times New Roman"/>
          <w:sz w:val="24"/>
          <w:szCs w:val="24"/>
        </w:rPr>
        <w:t xml:space="preserve">for </w:t>
      </w:r>
      <w:r w:rsidR="009C7548">
        <w:rPr>
          <w:rFonts w:ascii="Times New Roman" w:hAnsi="Times New Roman" w:cs="Times New Roman"/>
          <w:sz w:val="24"/>
          <w:szCs w:val="24"/>
        </w:rPr>
        <w:t xml:space="preserve">the treatment of </w:t>
      </w:r>
      <w:r w:rsidRPr="00806A79">
        <w:rPr>
          <w:rFonts w:ascii="Times New Roman" w:hAnsi="Times New Roman" w:cs="Times New Roman"/>
          <w:sz w:val="24"/>
          <w:szCs w:val="24"/>
        </w:rPr>
        <w:t xml:space="preserve">a single substance use disorder, but have not been studied for polysubstance use </w:t>
      </w:r>
      <w:r w:rsidR="009C7548">
        <w:rPr>
          <w:rFonts w:ascii="Times New Roman" w:hAnsi="Times New Roman" w:cs="Times New Roman"/>
          <w:sz w:val="24"/>
          <w:szCs w:val="24"/>
        </w:rPr>
        <w:t>disorders</w:t>
      </w:r>
      <w:r w:rsidRPr="00806A79">
        <w:rPr>
          <w:rFonts w:ascii="Times New Roman" w:hAnsi="Times New Roman" w:cs="Times New Roman"/>
          <w:sz w:val="24"/>
          <w:szCs w:val="24"/>
        </w:rPr>
        <w:t xml:space="preserve">. The field would benefit from more research on treatment practices for different combinations of substances </w:t>
      </w:r>
      <w:r w:rsidR="00D7563D">
        <w:rPr>
          <w:rFonts w:ascii="Times New Roman" w:hAnsi="Times New Roman" w:cs="Times New Roman"/>
          <w:sz w:val="24"/>
          <w:szCs w:val="24"/>
        </w:rPr>
        <w:t>among</w:t>
      </w:r>
      <w:r w:rsidR="00D7563D" w:rsidRPr="00806A79">
        <w:rPr>
          <w:rFonts w:ascii="Times New Roman" w:hAnsi="Times New Roman" w:cs="Times New Roman"/>
          <w:sz w:val="24"/>
          <w:szCs w:val="24"/>
        </w:rPr>
        <w:t xml:space="preserve"> </w:t>
      </w:r>
      <w:r w:rsidRPr="00806A79">
        <w:rPr>
          <w:rFonts w:ascii="Times New Roman" w:hAnsi="Times New Roman" w:cs="Times New Roman"/>
          <w:sz w:val="24"/>
          <w:szCs w:val="24"/>
        </w:rPr>
        <w:t>diverse populations.</w:t>
      </w:r>
    </w:p>
    <w:p w14:paraId="717E8665" w14:textId="77777777" w:rsidR="00107231" w:rsidRPr="00806A79" w:rsidRDefault="00107231" w:rsidP="000D71B0">
      <w:pPr>
        <w:pStyle w:val="Default"/>
        <w:rPr>
          <w:color w:val="auto"/>
        </w:rPr>
      </w:pPr>
    </w:p>
    <w:p w14:paraId="77077629" w14:textId="77777777" w:rsidR="002D763F" w:rsidRPr="00806A79" w:rsidRDefault="00107231" w:rsidP="000D71B0">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xml:space="preserve">2. At the hearing on June 20, Chairman Whitehouse mentioned during his opening remarks, “every dollar invested in evidence-based prevention can save up to twenty dollars.” This point is reiterated in the SAMHSA report, </w:t>
      </w:r>
      <w:r w:rsidRPr="00806A79">
        <w:rPr>
          <w:rFonts w:ascii="Times New Roman" w:hAnsi="Times New Roman" w:cs="Times New Roman"/>
          <w:b/>
          <w:bCs/>
          <w:i/>
          <w:iCs/>
          <w:sz w:val="24"/>
          <w:szCs w:val="24"/>
        </w:rPr>
        <w:t>Substance Abuse Prevention Dollar and Cents</w:t>
      </w:r>
      <w:r w:rsidRPr="00806A79">
        <w:rPr>
          <w:rFonts w:ascii="Times New Roman" w:hAnsi="Times New Roman" w:cs="Times New Roman"/>
          <w:b/>
          <w:bCs/>
          <w:sz w:val="24"/>
          <w:szCs w:val="24"/>
        </w:rPr>
        <w:t>, which concludes, “[t]he cost of substance abuse could be offset by a nationwide implementation of effective prevention policies and programs.”</w:t>
      </w:r>
    </w:p>
    <w:p w14:paraId="58F7A788" w14:textId="0077C740" w:rsidR="00107231" w:rsidRPr="00806A79" w:rsidRDefault="00107231" w:rsidP="000D71B0">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SAMHSA’s Substance Abuse Prevention and Treatment Block Grant program requires that grantees spend no less than 20% of their allotment on substance abuse primary prevention strategies</w:t>
      </w:r>
      <w:r w:rsidRPr="00806A79">
        <w:rPr>
          <w:rFonts w:ascii="Times New Roman" w:hAnsi="Times New Roman" w:cs="Times New Roman"/>
          <w:sz w:val="24"/>
          <w:szCs w:val="24"/>
        </w:rPr>
        <w:t xml:space="preserve">. </w:t>
      </w:r>
    </w:p>
    <w:p w14:paraId="6C5D13D9" w14:textId="77777777" w:rsidR="0011150D" w:rsidRPr="00806A79" w:rsidRDefault="0011150D" w:rsidP="000D71B0">
      <w:pPr>
        <w:pStyle w:val="Default"/>
        <w:rPr>
          <w:color w:val="auto"/>
        </w:rPr>
      </w:pPr>
    </w:p>
    <w:p w14:paraId="1B27C80F" w14:textId="77777777" w:rsidR="005E01E4" w:rsidRPr="00806A79" w:rsidRDefault="005E01E4" w:rsidP="005E01E4">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xml:space="preserve"> What are SAMHSA priorities for substance use prevention, and what more will SAMHSA do to prioritize it? </w:t>
      </w:r>
    </w:p>
    <w:p w14:paraId="09377CA5" w14:textId="77777777" w:rsidR="005E01E4" w:rsidRPr="00806A79" w:rsidRDefault="005E01E4" w:rsidP="005E01E4">
      <w:pPr>
        <w:pStyle w:val="PlainText"/>
        <w:rPr>
          <w:rFonts w:ascii="Times New Roman" w:hAnsi="Times New Roman" w:cs="Times New Roman"/>
          <w:sz w:val="24"/>
          <w:szCs w:val="24"/>
        </w:rPr>
      </w:pPr>
    </w:p>
    <w:p w14:paraId="797D9A65" w14:textId="379D1450" w:rsidR="00D53EF9" w:rsidRPr="00806A79" w:rsidRDefault="00313158" w:rsidP="000D35EE">
      <w:pPr>
        <w:pStyle w:val="PlainText"/>
        <w:ind w:firstLine="720"/>
        <w:rPr>
          <w:rFonts w:ascii="Times New Roman" w:hAnsi="Times New Roman" w:cs="Times New Roman"/>
          <w:sz w:val="24"/>
          <w:szCs w:val="24"/>
        </w:rPr>
      </w:pPr>
      <w:r w:rsidRPr="00806A79">
        <w:rPr>
          <w:rFonts w:ascii="Times New Roman" w:hAnsi="Times New Roman" w:cs="Times New Roman"/>
          <w:sz w:val="24"/>
          <w:szCs w:val="24"/>
        </w:rPr>
        <w:t>SAMHSA</w:t>
      </w:r>
      <w:r w:rsidR="00460A2D" w:rsidRPr="00806A79">
        <w:rPr>
          <w:rFonts w:ascii="Times New Roman" w:hAnsi="Times New Roman" w:cs="Times New Roman"/>
          <w:sz w:val="24"/>
          <w:szCs w:val="24"/>
        </w:rPr>
        <w:t xml:space="preserve"> </w:t>
      </w:r>
      <w:r w:rsidRPr="00806A79">
        <w:rPr>
          <w:rFonts w:ascii="Times New Roman" w:hAnsi="Times New Roman" w:cs="Times New Roman"/>
          <w:sz w:val="24"/>
          <w:szCs w:val="24"/>
        </w:rPr>
        <w:t>administers the Substance Abuse Prevention and Treatment Block Grants (SA</w:t>
      </w:r>
      <w:r w:rsidR="00CE1183" w:rsidRPr="00806A79">
        <w:rPr>
          <w:rFonts w:ascii="Times New Roman" w:hAnsi="Times New Roman" w:cs="Times New Roman"/>
          <w:sz w:val="24"/>
          <w:szCs w:val="24"/>
        </w:rPr>
        <w:t>B</w:t>
      </w:r>
      <w:r w:rsidRPr="00806A79">
        <w:rPr>
          <w:rFonts w:ascii="Times New Roman" w:hAnsi="Times New Roman" w:cs="Times New Roman"/>
          <w:sz w:val="24"/>
          <w:szCs w:val="24"/>
        </w:rPr>
        <w:t xml:space="preserve">G) </w:t>
      </w:r>
      <w:r w:rsidRPr="00806A79">
        <w:rPr>
          <w:rFonts w:ascii="Times New Roman" w:eastAsia="Times New Roman" w:hAnsi="Times New Roman" w:cs="Times New Roman"/>
          <w:sz w:val="24"/>
          <w:szCs w:val="24"/>
        </w:rPr>
        <w:t>to 60 eligible states, territories and freely associated states, the District of Columbia, and the Red Lake Band of Chippewa Indians of Minnesota (referred to collectively as states) to plan, carry out, and evaluate substance use prevention</w:t>
      </w:r>
      <w:r w:rsidR="00387576">
        <w:rPr>
          <w:rFonts w:ascii="Times New Roman" w:eastAsia="Times New Roman" w:hAnsi="Times New Roman" w:cs="Times New Roman"/>
          <w:sz w:val="24"/>
          <w:szCs w:val="24"/>
        </w:rPr>
        <w:t>,</w:t>
      </w:r>
      <w:r w:rsidRPr="00806A79">
        <w:rPr>
          <w:rFonts w:ascii="Times New Roman" w:eastAsia="Times New Roman" w:hAnsi="Times New Roman" w:cs="Times New Roman"/>
          <w:sz w:val="24"/>
          <w:szCs w:val="24"/>
        </w:rPr>
        <w:t xml:space="preserve"> treatment, and recovery support services for individuals, families, and communities impacted by substance use and misuse</w:t>
      </w:r>
      <w:r w:rsidR="004C1F1A" w:rsidRPr="00806A79">
        <w:rPr>
          <w:rFonts w:ascii="Times New Roman" w:eastAsia="Times New Roman" w:hAnsi="Times New Roman" w:cs="Times New Roman"/>
          <w:sz w:val="24"/>
          <w:szCs w:val="24"/>
        </w:rPr>
        <w:t>.</w:t>
      </w:r>
      <w:r w:rsidR="0014113D" w:rsidRPr="00806A79">
        <w:rPr>
          <w:rFonts w:ascii="Times New Roman" w:eastAsia="Times New Roman" w:hAnsi="Times New Roman" w:cs="Times New Roman"/>
          <w:sz w:val="24"/>
          <w:szCs w:val="24"/>
        </w:rPr>
        <w:t xml:space="preserve"> </w:t>
      </w:r>
      <w:r w:rsidR="004E0F20">
        <w:rPr>
          <w:rFonts w:ascii="Times New Roman" w:hAnsi="Times New Roman" w:cs="Times New Roman"/>
          <w:sz w:val="24"/>
          <w:szCs w:val="24"/>
          <w:shd w:val="clear" w:color="auto" w:fill="FFFFFF"/>
        </w:rPr>
        <w:t>Under the 20 percent prevention set-aside, SAMHSA allows</w:t>
      </w:r>
      <w:r w:rsidR="004C1F1A" w:rsidRPr="00806A79">
        <w:rPr>
          <w:rFonts w:ascii="Times New Roman" w:hAnsi="Times New Roman" w:cs="Times New Roman"/>
          <w:sz w:val="24"/>
          <w:szCs w:val="24"/>
        </w:rPr>
        <w:t xml:space="preserve"> a broad array of </w:t>
      </w:r>
      <w:r w:rsidR="004E0F20">
        <w:rPr>
          <w:rFonts w:ascii="Times New Roman" w:hAnsi="Times New Roman" w:cs="Times New Roman"/>
          <w:sz w:val="24"/>
          <w:szCs w:val="24"/>
        </w:rPr>
        <w:t xml:space="preserve">interventions and </w:t>
      </w:r>
      <w:r w:rsidR="004C1F1A" w:rsidRPr="00806A79">
        <w:rPr>
          <w:rFonts w:ascii="Times New Roman" w:hAnsi="Times New Roman" w:cs="Times New Roman"/>
          <w:sz w:val="24"/>
          <w:szCs w:val="24"/>
        </w:rPr>
        <w:t>strategies directed at individuals not identified to be in need of treatment.</w:t>
      </w:r>
      <w:r w:rsidR="004C1F1A" w:rsidRPr="00806A79">
        <w:rPr>
          <w:rFonts w:ascii="Times New Roman" w:hAnsi="Times New Roman" w:cs="Times New Roman"/>
          <w:sz w:val="24"/>
          <w:szCs w:val="24"/>
          <w:vertAlign w:val="superscript"/>
        </w:rPr>
        <w:footnoteReference w:id="10"/>
      </w:r>
      <w:r w:rsidR="004C1F1A" w:rsidRPr="00806A79">
        <w:rPr>
          <w:rFonts w:ascii="Times New Roman" w:hAnsi="Times New Roman" w:cs="Times New Roman"/>
          <w:sz w:val="24"/>
          <w:szCs w:val="24"/>
        </w:rPr>
        <w:t xml:space="preserve">  States use these funds to develop infrastructure and capacity</w:t>
      </w:r>
      <w:r w:rsidR="004866E4" w:rsidRPr="00806A79">
        <w:rPr>
          <w:rFonts w:ascii="Times New Roman" w:hAnsi="Times New Roman" w:cs="Times New Roman"/>
          <w:sz w:val="24"/>
          <w:szCs w:val="24"/>
        </w:rPr>
        <w:t xml:space="preserve">, </w:t>
      </w:r>
      <w:r w:rsidR="004C1F1A" w:rsidRPr="00806A79">
        <w:rPr>
          <w:rFonts w:ascii="Times New Roman" w:hAnsi="Times New Roman" w:cs="Times New Roman"/>
          <w:sz w:val="24"/>
          <w:szCs w:val="24"/>
        </w:rPr>
        <w:t xml:space="preserve">and to fund programs specific to primary substance misuse prevention.  </w:t>
      </w:r>
    </w:p>
    <w:p w14:paraId="2EB3EA8E" w14:textId="77777777" w:rsidR="0014113D" w:rsidRPr="00806A79" w:rsidRDefault="0014113D" w:rsidP="0014113D">
      <w:pPr>
        <w:pStyle w:val="PlainText"/>
        <w:rPr>
          <w:rFonts w:ascii="Times New Roman" w:hAnsi="Times New Roman" w:cs="Times New Roman"/>
          <w:sz w:val="24"/>
          <w:szCs w:val="24"/>
        </w:rPr>
      </w:pPr>
    </w:p>
    <w:p w14:paraId="0A87D0CF" w14:textId="5D1081A1" w:rsidR="004E0F20" w:rsidRPr="00B6565E" w:rsidRDefault="004E0F20" w:rsidP="000D35EE">
      <w:pPr>
        <w:pStyle w:val="PlainText"/>
        <w:ind w:firstLine="720"/>
        <w:rPr>
          <w:rFonts w:ascii="Times New Roman" w:hAnsi="Times New Roman" w:cs="Times New Roman"/>
          <w:sz w:val="24"/>
          <w:szCs w:val="24"/>
        </w:rPr>
      </w:pPr>
      <w:r>
        <w:rPr>
          <w:rFonts w:ascii="Times New Roman" w:hAnsi="Times New Roman" w:cs="Times New Roman"/>
          <w:sz w:val="24"/>
          <w:szCs w:val="24"/>
        </w:rPr>
        <w:t>States’</w:t>
      </w:r>
      <w:r w:rsidR="000B2407" w:rsidRPr="00806A79">
        <w:rPr>
          <w:rFonts w:ascii="Times New Roman" w:hAnsi="Times New Roman" w:cs="Times New Roman"/>
          <w:sz w:val="24"/>
          <w:szCs w:val="24"/>
        </w:rPr>
        <w:t xml:space="preserve"> primary prevention program</w:t>
      </w:r>
      <w:r>
        <w:rPr>
          <w:rFonts w:ascii="Times New Roman" w:hAnsi="Times New Roman" w:cs="Times New Roman"/>
          <w:sz w:val="24"/>
          <w:szCs w:val="24"/>
        </w:rPr>
        <w:t>s</w:t>
      </w:r>
      <w:r w:rsidR="000B2407" w:rsidRPr="00806A79">
        <w:rPr>
          <w:rFonts w:ascii="Times New Roman" w:hAnsi="Times New Roman" w:cs="Times New Roman"/>
          <w:sz w:val="24"/>
          <w:szCs w:val="24"/>
        </w:rPr>
        <w:t xml:space="preserve"> must include, but </w:t>
      </w:r>
      <w:r>
        <w:rPr>
          <w:rFonts w:ascii="Times New Roman" w:hAnsi="Times New Roman" w:cs="Times New Roman"/>
          <w:sz w:val="24"/>
          <w:szCs w:val="24"/>
        </w:rPr>
        <w:t>are</w:t>
      </w:r>
      <w:r w:rsidRPr="00806A79">
        <w:rPr>
          <w:rFonts w:ascii="Times New Roman" w:hAnsi="Times New Roman" w:cs="Times New Roman"/>
          <w:sz w:val="24"/>
          <w:szCs w:val="24"/>
        </w:rPr>
        <w:t xml:space="preserve"> </w:t>
      </w:r>
      <w:r w:rsidR="000B2407" w:rsidRPr="00806A79">
        <w:rPr>
          <w:rFonts w:ascii="Times New Roman" w:hAnsi="Times New Roman" w:cs="Times New Roman"/>
          <w:sz w:val="24"/>
          <w:szCs w:val="24"/>
        </w:rPr>
        <w:t xml:space="preserve">not limited to, six primary prevention </w:t>
      </w:r>
      <w:r w:rsidR="000B2407" w:rsidRPr="00B6565E">
        <w:rPr>
          <w:rFonts w:ascii="Times New Roman" w:hAnsi="Times New Roman" w:cs="Times New Roman"/>
          <w:sz w:val="24"/>
          <w:szCs w:val="24"/>
        </w:rPr>
        <w:t xml:space="preserve">strategies: </w:t>
      </w:r>
    </w:p>
    <w:p w14:paraId="55EAB91F" w14:textId="6CFB403A" w:rsidR="00040401" w:rsidRPr="00B6565E" w:rsidRDefault="00040401" w:rsidP="00040401">
      <w:pPr>
        <w:numPr>
          <w:ilvl w:val="0"/>
          <w:numId w:val="24"/>
        </w:numPr>
        <w:shd w:val="clear" w:color="auto" w:fill="FFFFFF"/>
        <w:tabs>
          <w:tab w:val="num" w:pos="720"/>
        </w:tabs>
        <w:spacing w:before="100" w:beforeAutospacing="1" w:after="120" w:line="240" w:lineRule="auto"/>
        <w:rPr>
          <w:rFonts w:ascii="Times New Roman" w:eastAsia="Times New Roman" w:hAnsi="Times New Roman" w:cs="Times New Roman"/>
          <w:sz w:val="24"/>
          <w:szCs w:val="24"/>
        </w:rPr>
      </w:pPr>
      <w:r w:rsidRPr="00B6565E">
        <w:rPr>
          <w:rFonts w:ascii="Times New Roman" w:eastAsia="Times New Roman" w:hAnsi="Times New Roman" w:cs="Times New Roman"/>
          <w:b/>
          <w:bCs/>
          <w:sz w:val="24"/>
          <w:szCs w:val="24"/>
        </w:rPr>
        <w:t>Information Dissemination </w:t>
      </w:r>
      <w:r w:rsidRPr="00B6565E">
        <w:rPr>
          <w:rFonts w:ascii="Times New Roman" w:eastAsia="Times New Roman" w:hAnsi="Times New Roman" w:cs="Times New Roman"/>
          <w:sz w:val="24"/>
          <w:szCs w:val="24"/>
        </w:rPr>
        <w:t>provides knowledge and increases awareness of the nature and extent of alcohol and other drug use, abuse, and addiction, as well as their effects on individuals, families, and communities. It also provides knowledge and increases awareness of available prevention and treatment programs and services. It is characterized by one-way communication from the information source to the audience, with limited contact between the two.</w:t>
      </w:r>
    </w:p>
    <w:p w14:paraId="28CCD0E0" w14:textId="77777777" w:rsidR="00040401" w:rsidRPr="00B6565E" w:rsidRDefault="00040401" w:rsidP="00040401">
      <w:pPr>
        <w:numPr>
          <w:ilvl w:val="0"/>
          <w:numId w:val="24"/>
        </w:numPr>
        <w:shd w:val="clear" w:color="auto" w:fill="FFFFFF"/>
        <w:tabs>
          <w:tab w:val="num" w:pos="720"/>
        </w:tabs>
        <w:spacing w:before="100" w:beforeAutospacing="1" w:after="120" w:line="240" w:lineRule="auto"/>
        <w:rPr>
          <w:rFonts w:ascii="Times New Roman" w:eastAsia="Times New Roman" w:hAnsi="Times New Roman" w:cs="Times New Roman"/>
          <w:sz w:val="24"/>
          <w:szCs w:val="24"/>
        </w:rPr>
      </w:pPr>
      <w:r w:rsidRPr="00B6565E">
        <w:rPr>
          <w:rFonts w:ascii="Times New Roman" w:eastAsia="Times New Roman" w:hAnsi="Times New Roman" w:cs="Times New Roman"/>
          <w:b/>
          <w:bCs/>
          <w:sz w:val="24"/>
          <w:szCs w:val="24"/>
        </w:rPr>
        <w:t>Education</w:t>
      </w:r>
      <w:r w:rsidRPr="00B6565E">
        <w:rPr>
          <w:rFonts w:ascii="Times New Roman" w:eastAsia="Times New Roman" w:hAnsi="Times New Roman" w:cs="Times New Roman"/>
          <w:sz w:val="24"/>
          <w:szCs w:val="24"/>
        </w:rPr>
        <w:t xml:space="preserve"> builds skills through structured learning processes. Critical life and social skills include decision making, peer resistance, coping with stress, problem solving, </w:t>
      </w:r>
      <w:r w:rsidRPr="00B6565E">
        <w:rPr>
          <w:rFonts w:ascii="Times New Roman" w:eastAsia="Times New Roman" w:hAnsi="Times New Roman" w:cs="Times New Roman"/>
          <w:sz w:val="24"/>
          <w:szCs w:val="24"/>
        </w:rPr>
        <w:lastRenderedPageBreak/>
        <w:t>interpersonal communication, and systematic and judgmental capabilities. There is more interaction between facilitators and participants than there is for information dissemination.</w:t>
      </w:r>
    </w:p>
    <w:p w14:paraId="5475E975" w14:textId="77777777" w:rsidR="00040401" w:rsidRPr="00B6565E" w:rsidRDefault="00040401" w:rsidP="00040401">
      <w:pPr>
        <w:numPr>
          <w:ilvl w:val="0"/>
          <w:numId w:val="24"/>
        </w:numPr>
        <w:shd w:val="clear" w:color="auto" w:fill="FFFFFF"/>
        <w:tabs>
          <w:tab w:val="num" w:pos="720"/>
        </w:tabs>
        <w:spacing w:before="100" w:beforeAutospacing="1" w:after="120" w:line="240" w:lineRule="auto"/>
        <w:rPr>
          <w:rFonts w:ascii="Times New Roman" w:eastAsia="Times New Roman" w:hAnsi="Times New Roman" w:cs="Times New Roman"/>
          <w:sz w:val="24"/>
          <w:szCs w:val="24"/>
        </w:rPr>
      </w:pPr>
      <w:r w:rsidRPr="00B6565E">
        <w:rPr>
          <w:rFonts w:ascii="Times New Roman" w:eastAsia="Times New Roman" w:hAnsi="Times New Roman" w:cs="Times New Roman"/>
          <w:b/>
          <w:bCs/>
          <w:sz w:val="24"/>
          <w:szCs w:val="24"/>
        </w:rPr>
        <w:t>Alternatives</w:t>
      </w:r>
      <w:r w:rsidRPr="00B6565E">
        <w:rPr>
          <w:rFonts w:ascii="Times New Roman" w:eastAsia="Times New Roman" w:hAnsi="Times New Roman" w:cs="Times New Roman"/>
          <w:sz w:val="24"/>
          <w:szCs w:val="24"/>
        </w:rPr>
        <w:t> provide opportunities for target populations to participate in activities that exclude alcohol and other drugs. The purpose is to discourage use of alcohol and other drugs by providing alternative, healthy activities.</w:t>
      </w:r>
    </w:p>
    <w:p w14:paraId="4A89FD4D" w14:textId="77777777" w:rsidR="00040401" w:rsidRPr="00B6565E" w:rsidRDefault="00040401" w:rsidP="00040401">
      <w:pPr>
        <w:numPr>
          <w:ilvl w:val="0"/>
          <w:numId w:val="24"/>
        </w:numPr>
        <w:shd w:val="clear" w:color="auto" w:fill="FFFFFF"/>
        <w:tabs>
          <w:tab w:val="num" w:pos="720"/>
        </w:tabs>
        <w:spacing w:before="100" w:beforeAutospacing="1" w:after="120" w:line="240" w:lineRule="auto"/>
        <w:rPr>
          <w:rFonts w:ascii="Times New Roman" w:eastAsia="Times New Roman" w:hAnsi="Times New Roman" w:cs="Times New Roman"/>
          <w:sz w:val="24"/>
          <w:szCs w:val="24"/>
        </w:rPr>
      </w:pPr>
      <w:r w:rsidRPr="00B6565E">
        <w:rPr>
          <w:rFonts w:ascii="Times New Roman" w:eastAsia="Times New Roman" w:hAnsi="Times New Roman" w:cs="Times New Roman"/>
          <w:b/>
          <w:bCs/>
          <w:sz w:val="24"/>
          <w:szCs w:val="24"/>
        </w:rPr>
        <w:t>Problem Identification and Referral</w:t>
      </w:r>
      <w:r w:rsidRPr="00B6565E">
        <w:rPr>
          <w:rFonts w:ascii="Times New Roman" w:eastAsia="Times New Roman" w:hAnsi="Times New Roman" w:cs="Times New Roman"/>
          <w:sz w:val="24"/>
          <w:szCs w:val="24"/>
        </w:rPr>
        <w:t> aims to identify individuals who have indulged in illegal or age-inappropriate use of tobacco or alcohol and individuals who have indulged in the first use of illicit drugs. The goal is to assess if their behavior can be reversed through education. This strategy does </w:t>
      </w:r>
      <w:r w:rsidRPr="00B6565E">
        <w:rPr>
          <w:rFonts w:ascii="Times New Roman" w:eastAsia="Times New Roman" w:hAnsi="Times New Roman" w:cs="Times New Roman"/>
          <w:i/>
          <w:iCs/>
          <w:sz w:val="24"/>
          <w:szCs w:val="24"/>
        </w:rPr>
        <w:t>not</w:t>
      </w:r>
      <w:r w:rsidRPr="00B6565E">
        <w:rPr>
          <w:rFonts w:ascii="Times New Roman" w:eastAsia="Times New Roman" w:hAnsi="Times New Roman" w:cs="Times New Roman"/>
          <w:sz w:val="24"/>
          <w:szCs w:val="24"/>
        </w:rPr>
        <w:t> include any activity designed to determine if a person is in need of treatment.</w:t>
      </w:r>
    </w:p>
    <w:p w14:paraId="2AC75DF9" w14:textId="77777777" w:rsidR="00040401" w:rsidRPr="00B6565E" w:rsidRDefault="00040401" w:rsidP="00040401">
      <w:pPr>
        <w:numPr>
          <w:ilvl w:val="0"/>
          <w:numId w:val="24"/>
        </w:numPr>
        <w:shd w:val="clear" w:color="auto" w:fill="FFFFFF"/>
        <w:tabs>
          <w:tab w:val="num" w:pos="720"/>
        </w:tabs>
        <w:spacing w:before="100" w:beforeAutospacing="1" w:after="120" w:line="240" w:lineRule="auto"/>
        <w:rPr>
          <w:rFonts w:ascii="Times New Roman" w:eastAsia="Times New Roman" w:hAnsi="Times New Roman" w:cs="Times New Roman"/>
          <w:sz w:val="24"/>
          <w:szCs w:val="24"/>
        </w:rPr>
      </w:pPr>
      <w:r w:rsidRPr="00B6565E">
        <w:rPr>
          <w:rFonts w:ascii="Times New Roman" w:eastAsia="Times New Roman" w:hAnsi="Times New Roman" w:cs="Times New Roman"/>
          <w:b/>
          <w:bCs/>
          <w:sz w:val="24"/>
          <w:szCs w:val="24"/>
        </w:rPr>
        <w:t>Community-based Process</w:t>
      </w:r>
      <w:r w:rsidRPr="00B6565E">
        <w:rPr>
          <w:rFonts w:ascii="Times New Roman" w:eastAsia="Times New Roman" w:hAnsi="Times New Roman" w:cs="Times New Roman"/>
          <w:sz w:val="24"/>
          <w:szCs w:val="24"/>
        </w:rPr>
        <w:t> provides ongoing networking activities and technical assistance to community groups or agencies. It encompasses neighborhood-based, grassroots empowerment models using action planning and collaborative systems planning.</w:t>
      </w:r>
    </w:p>
    <w:p w14:paraId="3D6CDB9F" w14:textId="77777777" w:rsidR="00040401" w:rsidRPr="00B6565E" w:rsidRDefault="00040401" w:rsidP="00040401">
      <w:pPr>
        <w:numPr>
          <w:ilvl w:val="0"/>
          <w:numId w:val="24"/>
        </w:numPr>
        <w:shd w:val="clear" w:color="auto" w:fill="FFFFFF"/>
        <w:tabs>
          <w:tab w:val="num" w:pos="720"/>
        </w:tabs>
        <w:spacing w:before="100" w:beforeAutospacing="1" w:after="120" w:line="240" w:lineRule="auto"/>
        <w:rPr>
          <w:rFonts w:ascii="Times New Roman" w:eastAsia="Times New Roman" w:hAnsi="Times New Roman" w:cs="Times New Roman"/>
          <w:sz w:val="24"/>
          <w:szCs w:val="24"/>
        </w:rPr>
      </w:pPr>
      <w:r w:rsidRPr="00B6565E">
        <w:rPr>
          <w:rFonts w:ascii="Times New Roman" w:eastAsia="Times New Roman" w:hAnsi="Times New Roman" w:cs="Times New Roman"/>
          <w:b/>
          <w:bCs/>
          <w:sz w:val="24"/>
          <w:szCs w:val="24"/>
        </w:rPr>
        <w:t>Environmental</w:t>
      </w:r>
      <w:r w:rsidRPr="00B6565E">
        <w:rPr>
          <w:rFonts w:ascii="Times New Roman" w:eastAsia="Times New Roman" w:hAnsi="Times New Roman" w:cs="Times New Roman"/>
          <w:sz w:val="24"/>
          <w:szCs w:val="24"/>
        </w:rPr>
        <w:t> establishes or changes written and unwritten community standards, codes, and attitudes. Its intent is to influence the general population's use of alcohol and other drugs.</w:t>
      </w:r>
    </w:p>
    <w:p w14:paraId="5AB2406C" w14:textId="77777777" w:rsidR="0014113D" w:rsidRPr="00B6565E" w:rsidRDefault="0014113D" w:rsidP="0014113D">
      <w:pPr>
        <w:pStyle w:val="BodyText2"/>
        <w:shd w:val="clear" w:color="auto" w:fill="FFFFFF"/>
        <w:spacing w:after="0" w:line="240" w:lineRule="auto"/>
        <w:ind w:firstLine="360"/>
      </w:pPr>
    </w:p>
    <w:p w14:paraId="702FDE6F" w14:textId="0230407B" w:rsidR="00B73EC9" w:rsidRPr="00806A79" w:rsidRDefault="0001034F" w:rsidP="000D35EE">
      <w:pPr>
        <w:pStyle w:val="BodyText2"/>
        <w:shd w:val="clear" w:color="auto" w:fill="FFFFFF"/>
        <w:spacing w:after="0" w:line="240" w:lineRule="auto"/>
        <w:ind w:firstLine="720"/>
      </w:pPr>
      <w:r>
        <w:t>P</w:t>
      </w:r>
      <w:r w:rsidR="00B73EC9" w:rsidRPr="00806A79">
        <w:rPr>
          <w:rFonts w:eastAsia="Calibri"/>
          <w:noProof/>
        </w:rPr>
        <w:t>rimary prevention for individuals not identified as needing treatment include</w:t>
      </w:r>
      <w:r w:rsidR="004866E4" w:rsidRPr="00806A79">
        <w:rPr>
          <w:rFonts w:eastAsia="Calibri"/>
          <w:noProof/>
        </w:rPr>
        <w:t>s</w:t>
      </w:r>
      <w:r w:rsidR="00B73EC9" w:rsidRPr="00806A79">
        <w:rPr>
          <w:rFonts w:eastAsia="Calibri"/>
          <w:noProof/>
        </w:rPr>
        <w:t xml:space="preserve"> </w:t>
      </w:r>
      <w:r w:rsidR="00B73EC9" w:rsidRPr="00806A79">
        <w:rPr>
          <w:rFonts w:eastAsia="Calibri"/>
          <w:i/>
          <w:iCs/>
          <w:noProof/>
        </w:rPr>
        <w:t>universal programs</w:t>
      </w:r>
      <w:r w:rsidR="00B73EC9" w:rsidRPr="00806A79">
        <w:rPr>
          <w:rFonts w:eastAsia="Calibri"/>
          <w:noProof/>
        </w:rPr>
        <w:t xml:space="preserve"> that are targeted to the general public or a whole population group that has not been identified on the basis of individual risk, </w:t>
      </w:r>
      <w:r w:rsidR="00B73EC9" w:rsidRPr="00806A79">
        <w:rPr>
          <w:rFonts w:eastAsia="Calibri"/>
          <w:i/>
          <w:iCs/>
          <w:noProof/>
        </w:rPr>
        <w:t>selective activities</w:t>
      </w:r>
      <w:r w:rsidR="00B73EC9" w:rsidRPr="00806A79">
        <w:rPr>
          <w:rFonts w:eastAsia="Calibri"/>
          <w:noProof/>
        </w:rPr>
        <w:t xml:space="preserve"> that are targeted to individuals or a subgroup of the population whose risk of developing a disorder is significantly higher than average, and </w:t>
      </w:r>
      <w:r w:rsidR="00B73EC9" w:rsidRPr="00806A79">
        <w:rPr>
          <w:rFonts w:eastAsia="Calibri"/>
          <w:i/>
          <w:iCs/>
          <w:noProof/>
        </w:rPr>
        <w:t>indicated prevention activities</w:t>
      </w:r>
      <w:r w:rsidR="00B73EC9" w:rsidRPr="00806A79">
        <w:rPr>
          <w:rFonts w:eastAsia="Calibri"/>
          <w:noProof/>
        </w:rPr>
        <w:t xml:space="preserve"> that are targeted to individuals </w:t>
      </w:r>
      <w:r>
        <w:rPr>
          <w:rFonts w:eastAsia="Calibri"/>
          <w:noProof/>
        </w:rPr>
        <w:t xml:space="preserve">who </w:t>
      </w:r>
      <w:r w:rsidRPr="0001034F">
        <w:rPr>
          <w:rFonts w:eastAsia="Calibri"/>
          <w:noProof/>
        </w:rPr>
        <w:t xml:space="preserve">are </w:t>
      </w:r>
      <w:r>
        <w:rPr>
          <w:rFonts w:eastAsia="Calibri"/>
          <w:noProof/>
        </w:rPr>
        <w:t xml:space="preserve">screened or otherwise </w:t>
      </w:r>
      <w:r w:rsidRPr="0001034F">
        <w:rPr>
          <w:rFonts w:eastAsia="Calibri"/>
          <w:noProof/>
        </w:rPr>
        <w:t>identified as having an increased vulnerability for a disorder</w:t>
      </w:r>
      <w:r>
        <w:rPr>
          <w:rFonts w:eastAsia="Calibri"/>
          <w:noProof/>
        </w:rPr>
        <w:t>,</w:t>
      </w:r>
      <w:r w:rsidRPr="0001034F">
        <w:rPr>
          <w:rFonts w:eastAsia="Calibri"/>
          <w:noProof/>
        </w:rPr>
        <w:t xml:space="preserve"> but who are currently asymptomatic</w:t>
      </w:r>
      <w:r>
        <w:rPr>
          <w:rFonts w:eastAsia="Calibri"/>
          <w:noProof/>
        </w:rPr>
        <w:t>.</w:t>
      </w:r>
      <w:r>
        <w:rPr>
          <w:rStyle w:val="FootnoteReference"/>
          <w:rFonts w:eastAsia="Calibri"/>
          <w:noProof/>
        </w:rPr>
        <w:footnoteReference w:id="11"/>
      </w:r>
      <w:r>
        <w:rPr>
          <w:rFonts w:eastAsia="Calibri"/>
          <w:noProof/>
        </w:rPr>
        <w:t xml:space="preserve"> </w:t>
      </w:r>
      <w:r w:rsidRPr="0001034F">
        <w:rPr>
          <w:rFonts w:eastAsia="Calibri"/>
          <w:noProof/>
        </w:rPr>
        <w:t xml:space="preserve"> </w:t>
      </w:r>
      <w:r w:rsidR="00B73EC9" w:rsidRPr="00806A79">
        <w:rPr>
          <w:rFonts w:eastAsia="Calibri"/>
          <w:noProof/>
        </w:rPr>
        <w:t xml:space="preserve"> </w:t>
      </w:r>
    </w:p>
    <w:p w14:paraId="2E7ABD71" w14:textId="77777777" w:rsidR="0014113D" w:rsidRPr="00806A79" w:rsidRDefault="0014113D" w:rsidP="0014113D">
      <w:pPr>
        <w:pStyle w:val="BodyText2"/>
        <w:shd w:val="clear" w:color="auto" w:fill="FFFFFF"/>
        <w:spacing w:after="0" w:line="240" w:lineRule="auto"/>
        <w:rPr>
          <w:rFonts w:eastAsia="Calibri"/>
          <w:noProof/>
        </w:rPr>
      </w:pPr>
    </w:p>
    <w:p w14:paraId="3472CC21" w14:textId="366B1E67" w:rsidR="00F60B8B" w:rsidRPr="00806A79" w:rsidRDefault="006B0E96" w:rsidP="000D35EE">
      <w:pPr>
        <w:pStyle w:val="BodyText2"/>
        <w:shd w:val="clear" w:color="auto" w:fill="FFFFFF"/>
        <w:spacing w:after="0" w:line="240" w:lineRule="auto"/>
        <w:ind w:firstLine="720"/>
      </w:pPr>
      <w:r>
        <w:rPr>
          <w:rFonts w:eastAsia="Calibri"/>
          <w:noProof/>
        </w:rPr>
        <w:t>States</w:t>
      </w:r>
      <w:r w:rsidRPr="00806A79">
        <w:rPr>
          <w:rFonts w:eastAsia="Calibri"/>
          <w:noProof/>
        </w:rPr>
        <w:t xml:space="preserve"> </w:t>
      </w:r>
      <w:r w:rsidR="00B73EC9" w:rsidRPr="00806A79">
        <w:rPr>
          <w:rFonts w:eastAsia="Calibri"/>
          <w:noProof/>
        </w:rPr>
        <w:t xml:space="preserve">are encouraged to consider </w:t>
      </w:r>
      <w:r w:rsidR="00F36A1A">
        <w:rPr>
          <w:rFonts w:eastAsia="Calibri"/>
          <w:noProof/>
        </w:rPr>
        <w:t>using SAMHSA funding for</w:t>
      </w:r>
      <w:r w:rsidR="00F36A1A" w:rsidRPr="00806A79">
        <w:rPr>
          <w:rFonts w:eastAsia="Calibri"/>
          <w:noProof/>
        </w:rPr>
        <w:t xml:space="preserve"> </w:t>
      </w:r>
      <w:r w:rsidR="00B73EC9" w:rsidRPr="00806A79">
        <w:rPr>
          <w:rFonts w:eastAsia="Calibri"/>
          <w:noProof/>
        </w:rPr>
        <w:t>the following priority prevention activities</w:t>
      </w:r>
      <w:r w:rsidR="00913945" w:rsidRPr="00806A79">
        <w:rPr>
          <w:rFonts w:eastAsia="Calibri"/>
          <w:noProof/>
        </w:rPr>
        <w:t xml:space="preserve">: </w:t>
      </w:r>
      <w:r w:rsidR="0014113D" w:rsidRPr="00806A79">
        <w:rPr>
          <w:rFonts w:eastAsia="Calibri"/>
          <w:noProof/>
        </w:rPr>
        <w:t xml:space="preserve">(1) </w:t>
      </w:r>
      <w:r w:rsidR="00F60B8B" w:rsidRPr="00806A79">
        <w:t>Screening with evidence-based tools</w:t>
      </w:r>
      <w:r w:rsidR="0014113D" w:rsidRPr="00806A79">
        <w:t xml:space="preserve">; (2) Operation of an “access line”, “crisis phone line” or “warm lines” by prevention providers; (3) Purchase of technical assistance; (4) </w:t>
      </w:r>
      <w:r w:rsidR="0014113D" w:rsidRPr="00806A79">
        <w:rPr>
          <w:rFonts w:eastAsia="Times New Roman"/>
        </w:rPr>
        <w:t xml:space="preserve">The purchase of </w:t>
      </w:r>
      <w:r w:rsidR="00313F05">
        <w:rPr>
          <w:rFonts w:eastAsia="Times New Roman"/>
        </w:rPr>
        <w:t>n</w:t>
      </w:r>
      <w:r w:rsidR="00313F05" w:rsidRPr="00806A79">
        <w:rPr>
          <w:rFonts w:eastAsia="Times New Roman"/>
        </w:rPr>
        <w:t xml:space="preserve">aloxone </w:t>
      </w:r>
      <w:r w:rsidR="0014113D" w:rsidRPr="00806A79">
        <w:rPr>
          <w:rFonts w:eastAsia="Times New Roman"/>
        </w:rPr>
        <w:t xml:space="preserve">and the materials necessary to assemble overdose kits and the </w:t>
      </w:r>
      <w:r w:rsidR="00313F05">
        <w:rPr>
          <w:rFonts w:eastAsia="Times New Roman"/>
        </w:rPr>
        <w:t xml:space="preserve">distribution </w:t>
      </w:r>
      <w:r w:rsidR="0014113D" w:rsidRPr="00806A79">
        <w:rPr>
          <w:rFonts w:eastAsia="Times New Roman"/>
        </w:rPr>
        <w:t xml:space="preserve">of such kits </w:t>
      </w:r>
      <w:r w:rsidR="00313F05">
        <w:rPr>
          <w:rFonts w:eastAsia="Times New Roman"/>
        </w:rPr>
        <w:t xml:space="preserve">not only to those who use opioids, but </w:t>
      </w:r>
      <w:r w:rsidR="0014113D" w:rsidRPr="00806A79">
        <w:rPr>
          <w:rFonts w:eastAsia="Times New Roman"/>
        </w:rPr>
        <w:t xml:space="preserve">to </w:t>
      </w:r>
      <w:r w:rsidR="00313F05">
        <w:rPr>
          <w:rFonts w:eastAsia="Times New Roman"/>
        </w:rPr>
        <w:t>people who use</w:t>
      </w:r>
      <w:r w:rsidR="0014113D" w:rsidRPr="00806A79">
        <w:rPr>
          <w:rFonts w:eastAsia="Times New Roman"/>
        </w:rPr>
        <w:t xml:space="preserve"> cocaine, methamphetamine, and benzodiazepines</w:t>
      </w:r>
      <w:r w:rsidR="00313F05">
        <w:rPr>
          <w:rFonts w:eastAsia="Times New Roman"/>
        </w:rPr>
        <w:t>,</w:t>
      </w:r>
      <w:r w:rsidR="0014113D" w:rsidRPr="00806A79">
        <w:rPr>
          <w:rFonts w:eastAsia="Times New Roman"/>
        </w:rPr>
        <w:t xml:space="preserve"> given the </w:t>
      </w:r>
      <w:r w:rsidR="00313F05">
        <w:rPr>
          <w:rFonts w:eastAsia="Times New Roman"/>
        </w:rPr>
        <w:t xml:space="preserve">frequent </w:t>
      </w:r>
      <w:r w:rsidR="0014113D" w:rsidRPr="00806A79">
        <w:rPr>
          <w:rFonts w:eastAsia="Times New Roman"/>
        </w:rPr>
        <w:t xml:space="preserve">contamination of these substances </w:t>
      </w:r>
      <w:r w:rsidR="00313F05">
        <w:rPr>
          <w:rFonts w:eastAsia="Times New Roman"/>
        </w:rPr>
        <w:t xml:space="preserve">and counterfeit pharmaceuticals </w:t>
      </w:r>
      <w:r w:rsidR="0014113D" w:rsidRPr="00806A79">
        <w:rPr>
          <w:rFonts w:eastAsia="Times New Roman"/>
        </w:rPr>
        <w:t xml:space="preserve">with illicitly manufactured fentanyl and </w:t>
      </w:r>
      <w:r w:rsidR="00313F05">
        <w:rPr>
          <w:rFonts w:eastAsia="Times New Roman"/>
        </w:rPr>
        <w:t>analogues</w:t>
      </w:r>
      <w:r w:rsidR="0014113D" w:rsidRPr="00806A79">
        <w:rPr>
          <w:rFonts w:eastAsia="Times New Roman"/>
        </w:rPr>
        <w:t>, and (5)</w:t>
      </w:r>
      <w:r w:rsidR="0014113D" w:rsidRPr="00806A79">
        <w:t xml:space="preserve"> </w:t>
      </w:r>
      <w:r w:rsidR="00F60B8B" w:rsidRPr="00806A79">
        <w:t xml:space="preserve">Risk messaging with evidence-informed strategies and accompanying evaluation to establish most effective strategies. </w:t>
      </w:r>
      <w:r w:rsidR="00313F05">
        <w:t>R</w:t>
      </w:r>
      <w:r w:rsidR="0014113D" w:rsidRPr="00806A79">
        <w:t>isk messag</w:t>
      </w:r>
      <w:r w:rsidR="00913945" w:rsidRPr="00806A79">
        <w:t xml:space="preserve">ing </w:t>
      </w:r>
      <w:r w:rsidR="0014113D" w:rsidRPr="00806A79">
        <w:t>should include: (A) Text and health</w:t>
      </w:r>
      <w:r w:rsidR="00F60B8B" w:rsidRPr="00806A79">
        <w:t xml:space="preserve"> messaging strategies targeted at adolescents and young adults’ substance misuse; </w:t>
      </w:r>
      <w:r w:rsidR="0014113D" w:rsidRPr="00806A79">
        <w:t xml:space="preserve">(B) </w:t>
      </w:r>
      <w:r w:rsidR="00F60B8B" w:rsidRPr="00806A79">
        <w:t>Scenario</w:t>
      </w:r>
      <w:r w:rsidR="00913945" w:rsidRPr="00806A79">
        <w:t>-</w:t>
      </w:r>
      <w:r w:rsidR="00F60B8B" w:rsidRPr="00806A79">
        <w:t>based messaging programs for parents about opioid risks; and</w:t>
      </w:r>
      <w:r w:rsidR="00313F05">
        <w:t>,</w:t>
      </w:r>
      <w:r w:rsidR="00F60B8B" w:rsidRPr="00806A79">
        <w:t xml:space="preserve"> </w:t>
      </w:r>
      <w:r w:rsidR="0014113D" w:rsidRPr="00806A79">
        <w:t xml:space="preserve">(C) </w:t>
      </w:r>
      <w:r w:rsidR="00F60B8B" w:rsidRPr="00806A79">
        <w:t xml:space="preserve">Web-based interventions targeted at the criminal justice system.  </w:t>
      </w:r>
    </w:p>
    <w:p w14:paraId="3F903CE7" w14:textId="36821B99" w:rsidR="0014113D" w:rsidRPr="00806A79" w:rsidRDefault="0014113D" w:rsidP="0014113D">
      <w:pPr>
        <w:spacing w:after="0" w:line="240" w:lineRule="auto"/>
        <w:rPr>
          <w:rFonts w:ascii="Times New Roman" w:hAnsi="Times New Roman" w:cs="Times New Roman"/>
          <w:sz w:val="24"/>
          <w:szCs w:val="24"/>
        </w:rPr>
      </w:pPr>
    </w:p>
    <w:p w14:paraId="66C2EDD9" w14:textId="6BE92B54" w:rsidR="006F1BE6" w:rsidRPr="00806A79" w:rsidRDefault="00313F05" w:rsidP="000D35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Through t</w:t>
      </w:r>
      <w:r w:rsidRPr="00806A79">
        <w:rPr>
          <w:rFonts w:ascii="Times New Roman" w:hAnsi="Times New Roman" w:cs="Times New Roman"/>
          <w:sz w:val="24"/>
          <w:szCs w:val="24"/>
        </w:rPr>
        <w:t xml:space="preserve">he </w:t>
      </w:r>
      <w:r w:rsidR="00CE1183" w:rsidRPr="00806A79">
        <w:rPr>
          <w:rFonts w:ascii="Times New Roman" w:hAnsi="Times New Roman" w:cs="Times New Roman"/>
          <w:sz w:val="24"/>
          <w:szCs w:val="24"/>
        </w:rPr>
        <w:t>SABG</w:t>
      </w:r>
      <w:r w:rsidR="004B6F26">
        <w:rPr>
          <w:rFonts w:ascii="Times New Roman" w:hAnsi="Times New Roman" w:cs="Times New Roman"/>
          <w:sz w:val="24"/>
          <w:szCs w:val="24"/>
        </w:rPr>
        <w:t>,</w:t>
      </w:r>
      <w:r w:rsidR="00CE1183" w:rsidRPr="00806A79">
        <w:rPr>
          <w:rFonts w:ascii="Times New Roman" w:hAnsi="Times New Roman" w:cs="Times New Roman"/>
          <w:sz w:val="24"/>
          <w:szCs w:val="24"/>
        </w:rPr>
        <w:t xml:space="preserve"> </w:t>
      </w:r>
      <w:r w:rsidR="00F60B8B" w:rsidRPr="00806A79">
        <w:rPr>
          <w:rFonts w:ascii="Times New Roman" w:hAnsi="Times New Roman" w:cs="Times New Roman"/>
          <w:sz w:val="24"/>
          <w:szCs w:val="24"/>
        </w:rPr>
        <w:t>$3</w:t>
      </w:r>
      <w:r w:rsidR="00FA3741" w:rsidRPr="00806A79">
        <w:rPr>
          <w:rFonts w:ascii="Times New Roman" w:hAnsi="Times New Roman" w:cs="Times New Roman"/>
          <w:sz w:val="24"/>
          <w:szCs w:val="24"/>
        </w:rPr>
        <w:t>5</w:t>
      </w:r>
      <w:r w:rsidR="00F31E10" w:rsidRPr="00806A79">
        <w:rPr>
          <w:rFonts w:ascii="Times New Roman" w:hAnsi="Times New Roman" w:cs="Times New Roman"/>
          <w:sz w:val="24"/>
          <w:szCs w:val="24"/>
        </w:rPr>
        <w:t>2</w:t>
      </w:r>
      <w:r w:rsidR="004B6F26">
        <w:rPr>
          <w:rFonts w:ascii="Times New Roman" w:hAnsi="Times New Roman" w:cs="Times New Roman"/>
          <w:sz w:val="24"/>
          <w:szCs w:val="24"/>
        </w:rPr>
        <w:t xml:space="preserve"> million </w:t>
      </w:r>
      <w:r>
        <w:rPr>
          <w:rFonts w:ascii="Times New Roman" w:hAnsi="Times New Roman" w:cs="Times New Roman"/>
          <w:sz w:val="24"/>
          <w:szCs w:val="24"/>
        </w:rPr>
        <w:t>was allocated to prevention activities</w:t>
      </w:r>
      <w:r w:rsidR="00FA3741" w:rsidRPr="00806A79">
        <w:rPr>
          <w:rFonts w:ascii="Times New Roman" w:hAnsi="Times New Roman" w:cs="Times New Roman"/>
          <w:sz w:val="24"/>
          <w:szCs w:val="24"/>
        </w:rPr>
        <w:t xml:space="preserve"> in</w:t>
      </w:r>
      <w:r w:rsidR="00F31E10" w:rsidRPr="00806A79">
        <w:rPr>
          <w:rFonts w:ascii="Times New Roman" w:hAnsi="Times New Roman" w:cs="Times New Roman"/>
          <w:sz w:val="24"/>
          <w:szCs w:val="24"/>
        </w:rPr>
        <w:t xml:space="preserve"> </w:t>
      </w:r>
      <w:r w:rsidR="00FA3741" w:rsidRPr="00806A79">
        <w:rPr>
          <w:rFonts w:ascii="Times New Roman" w:hAnsi="Times New Roman" w:cs="Times New Roman"/>
          <w:sz w:val="24"/>
          <w:szCs w:val="24"/>
        </w:rPr>
        <w:t>FY 2020 and</w:t>
      </w:r>
      <w:r w:rsidR="00F31E10" w:rsidRPr="00806A79">
        <w:rPr>
          <w:rFonts w:ascii="Times New Roman" w:hAnsi="Times New Roman" w:cs="Times New Roman"/>
          <w:sz w:val="24"/>
          <w:szCs w:val="24"/>
        </w:rPr>
        <w:t xml:space="preserve"> </w:t>
      </w:r>
      <w:r>
        <w:rPr>
          <w:rFonts w:ascii="Times New Roman" w:hAnsi="Times New Roman" w:cs="Times New Roman"/>
          <w:sz w:val="24"/>
          <w:szCs w:val="24"/>
        </w:rPr>
        <w:t>a similar amount was allocated for this purpose</w:t>
      </w:r>
      <w:r w:rsidR="00F31E10" w:rsidRPr="00806A79">
        <w:rPr>
          <w:rFonts w:ascii="Times New Roman" w:hAnsi="Times New Roman" w:cs="Times New Roman"/>
          <w:sz w:val="24"/>
          <w:szCs w:val="24"/>
        </w:rPr>
        <w:t xml:space="preserve"> in</w:t>
      </w:r>
      <w:r w:rsidR="00FA3741" w:rsidRPr="00806A79">
        <w:rPr>
          <w:rFonts w:ascii="Times New Roman" w:hAnsi="Times New Roman" w:cs="Times New Roman"/>
          <w:sz w:val="24"/>
          <w:szCs w:val="24"/>
        </w:rPr>
        <w:t xml:space="preserve"> FY 2021</w:t>
      </w:r>
      <w:r w:rsidR="000B2407" w:rsidRPr="00806A79">
        <w:rPr>
          <w:rFonts w:ascii="Times New Roman" w:hAnsi="Times New Roman" w:cs="Times New Roman"/>
          <w:sz w:val="24"/>
          <w:szCs w:val="24"/>
        </w:rPr>
        <w:t xml:space="preserve">.  </w:t>
      </w:r>
      <w:r>
        <w:rPr>
          <w:rFonts w:ascii="Times New Roman" w:hAnsi="Times New Roman" w:cs="Times New Roman"/>
          <w:sz w:val="24"/>
          <w:szCs w:val="24"/>
        </w:rPr>
        <w:t>SABG block grant funding received a one-time $1.65 billion increase under t</w:t>
      </w:r>
      <w:r w:rsidR="00F60B8B" w:rsidRPr="00806A79">
        <w:rPr>
          <w:rFonts w:ascii="Times New Roman" w:hAnsi="Times New Roman" w:cs="Times New Roman"/>
          <w:sz w:val="24"/>
          <w:szCs w:val="24"/>
        </w:rPr>
        <w:t xml:space="preserve">he Coronavirus Response and Relief Supplement Appropriations Act [P.L. 116-260] to prioritize and address the unique </w:t>
      </w:r>
      <w:r w:rsidR="00E360AC">
        <w:rPr>
          <w:rFonts w:ascii="Times New Roman" w:hAnsi="Times New Roman" w:cs="Times New Roman"/>
          <w:sz w:val="24"/>
          <w:szCs w:val="24"/>
        </w:rPr>
        <w:t>substance use disorder (</w:t>
      </w:r>
      <w:r w:rsidR="00F60B8B" w:rsidRPr="00806A79">
        <w:rPr>
          <w:rFonts w:ascii="Times New Roman" w:hAnsi="Times New Roman" w:cs="Times New Roman"/>
          <w:sz w:val="24"/>
          <w:szCs w:val="24"/>
        </w:rPr>
        <w:t>SUD</w:t>
      </w:r>
      <w:r w:rsidR="00E360AC">
        <w:rPr>
          <w:rFonts w:ascii="Times New Roman" w:hAnsi="Times New Roman" w:cs="Times New Roman"/>
          <w:sz w:val="24"/>
          <w:szCs w:val="24"/>
        </w:rPr>
        <w:t>)</w:t>
      </w:r>
      <w:r w:rsidR="00F60B8B" w:rsidRPr="00806A79">
        <w:rPr>
          <w:rFonts w:ascii="Times New Roman" w:hAnsi="Times New Roman" w:cs="Times New Roman"/>
          <w:sz w:val="24"/>
          <w:szCs w:val="24"/>
        </w:rPr>
        <w:t xml:space="preserve"> prevention, intervention, treatment, and recovery support needs and gaps in states’ service systems in response to the COVID-19 pandemic. Through this appropriation, $330 million was added to </w:t>
      </w:r>
      <w:r w:rsidR="00CE1183" w:rsidRPr="00806A79">
        <w:rPr>
          <w:rFonts w:ascii="Times New Roman" w:hAnsi="Times New Roman" w:cs="Times New Roman"/>
          <w:sz w:val="24"/>
          <w:szCs w:val="24"/>
        </w:rPr>
        <w:t xml:space="preserve">SABG </w:t>
      </w:r>
      <w:r w:rsidR="00F60B8B" w:rsidRPr="00806A79">
        <w:rPr>
          <w:rFonts w:ascii="Times New Roman" w:hAnsi="Times New Roman" w:cs="Times New Roman"/>
          <w:sz w:val="24"/>
          <w:szCs w:val="24"/>
        </w:rPr>
        <w:t xml:space="preserve">prevention activities.  </w:t>
      </w:r>
      <w:r w:rsidR="004B6F26">
        <w:rPr>
          <w:rFonts w:ascii="Times New Roman" w:hAnsi="Times New Roman" w:cs="Times New Roman"/>
          <w:sz w:val="24"/>
          <w:szCs w:val="24"/>
        </w:rPr>
        <w:t xml:space="preserve">The American Rescue Plan appropriated $1.5 billion to the SABG.  </w:t>
      </w:r>
      <w:r w:rsidR="000B2407" w:rsidRPr="00806A79">
        <w:rPr>
          <w:rFonts w:ascii="Times New Roman" w:hAnsi="Times New Roman" w:cs="Times New Roman"/>
          <w:sz w:val="24"/>
          <w:szCs w:val="24"/>
        </w:rPr>
        <w:t xml:space="preserve">COVID-19 expenditures related to substance misuse prevention include: COVID-19 awareness and education for persons with SUD, transportation related to accessing SUD prevention and COVID-19 vaccines.  </w:t>
      </w:r>
      <w:r w:rsidR="003D38AB" w:rsidRPr="00806A79">
        <w:rPr>
          <w:rFonts w:ascii="Times New Roman" w:hAnsi="Times New Roman" w:cs="Times New Roman"/>
          <w:sz w:val="24"/>
          <w:szCs w:val="24"/>
        </w:rPr>
        <w:t xml:space="preserve">SAMHSA’s FY 2022 </w:t>
      </w:r>
      <w:r w:rsidR="00033E53" w:rsidRPr="00806A79">
        <w:rPr>
          <w:rFonts w:ascii="Times New Roman" w:hAnsi="Times New Roman" w:cs="Times New Roman"/>
          <w:sz w:val="24"/>
          <w:szCs w:val="24"/>
        </w:rPr>
        <w:t>B</w:t>
      </w:r>
      <w:r w:rsidR="003D38AB" w:rsidRPr="00806A79">
        <w:rPr>
          <w:rFonts w:ascii="Times New Roman" w:hAnsi="Times New Roman" w:cs="Times New Roman"/>
          <w:sz w:val="24"/>
          <w:szCs w:val="24"/>
        </w:rPr>
        <w:t xml:space="preserve">udget Request </w:t>
      </w:r>
      <w:r w:rsidR="00033E53" w:rsidRPr="00806A79">
        <w:rPr>
          <w:rFonts w:ascii="Times New Roman" w:hAnsi="Times New Roman" w:cs="Times New Roman"/>
          <w:sz w:val="24"/>
          <w:szCs w:val="24"/>
        </w:rPr>
        <w:t xml:space="preserve">includes </w:t>
      </w:r>
      <w:r w:rsidR="003D38AB" w:rsidRPr="00806A79">
        <w:rPr>
          <w:rFonts w:ascii="Times New Roman" w:hAnsi="Times New Roman" w:cs="Times New Roman"/>
          <w:sz w:val="24"/>
          <w:szCs w:val="24"/>
        </w:rPr>
        <w:t>$3.5 billion</w:t>
      </w:r>
      <w:r w:rsidR="00033E53" w:rsidRPr="00806A79">
        <w:rPr>
          <w:rFonts w:ascii="Times New Roman" w:hAnsi="Times New Roman" w:cs="Times New Roman"/>
          <w:sz w:val="24"/>
          <w:szCs w:val="24"/>
        </w:rPr>
        <w:t xml:space="preserve"> for the SABG program</w:t>
      </w:r>
      <w:r w:rsidR="003D38AB" w:rsidRPr="00806A79">
        <w:rPr>
          <w:rFonts w:ascii="Times New Roman" w:hAnsi="Times New Roman" w:cs="Times New Roman"/>
          <w:sz w:val="24"/>
          <w:szCs w:val="24"/>
        </w:rPr>
        <w:t>, an increase of $1.7 billion from the FY 2021 Enacted level</w:t>
      </w:r>
      <w:r w:rsidR="00033E53" w:rsidRPr="00806A79">
        <w:rPr>
          <w:rFonts w:ascii="Times New Roman" w:hAnsi="Times New Roman" w:cs="Times New Roman"/>
          <w:sz w:val="24"/>
          <w:szCs w:val="24"/>
        </w:rPr>
        <w:t xml:space="preserve">.  This increase in SABG overall funding would result in SAMHSA close to doubling its support to States for substance </w:t>
      </w:r>
      <w:r w:rsidR="00B6565E">
        <w:rPr>
          <w:rFonts w:ascii="Times New Roman" w:hAnsi="Times New Roman" w:cs="Times New Roman"/>
          <w:sz w:val="24"/>
          <w:szCs w:val="24"/>
        </w:rPr>
        <w:t>abuse</w:t>
      </w:r>
      <w:r w:rsidR="00B6565E" w:rsidRPr="00806A79">
        <w:rPr>
          <w:rFonts w:ascii="Times New Roman" w:hAnsi="Times New Roman" w:cs="Times New Roman"/>
          <w:sz w:val="24"/>
          <w:szCs w:val="24"/>
        </w:rPr>
        <w:t xml:space="preserve"> </w:t>
      </w:r>
      <w:r w:rsidR="00033E53" w:rsidRPr="00806A79">
        <w:rPr>
          <w:rFonts w:ascii="Times New Roman" w:hAnsi="Times New Roman" w:cs="Times New Roman"/>
          <w:sz w:val="24"/>
          <w:szCs w:val="24"/>
        </w:rPr>
        <w:t xml:space="preserve">prevention </w:t>
      </w:r>
      <w:r w:rsidR="00B6565E">
        <w:rPr>
          <w:rFonts w:ascii="Times New Roman" w:hAnsi="Times New Roman" w:cs="Times New Roman"/>
          <w:sz w:val="24"/>
          <w:szCs w:val="24"/>
        </w:rPr>
        <w:t>services</w:t>
      </w:r>
      <w:r w:rsidR="00B6565E">
        <w:rPr>
          <w:rFonts w:ascii="Times New Roman" w:hAnsi="Times New Roman" w:cs="Times New Roman"/>
          <w:sz w:val="24"/>
          <w:szCs w:val="24"/>
        </w:rPr>
        <w:t xml:space="preserve"> </w:t>
      </w:r>
      <w:r w:rsidR="00033E53" w:rsidRPr="00806A79">
        <w:rPr>
          <w:rFonts w:ascii="Times New Roman" w:hAnsi="Times New Roman" w:cs="Times New Roman"/>
          <w:sz w:val="24"/>
          <w:szCs w:val="24"/>
        </w:rPr>
        <w:t xml:space="preserve">in 2022. </w:t>
      </w:r>
      <w:bookmarkStart w:id="1" w:name="_GoBack"/>
      <w:bookmarkEnd w:id="1"/>
    </w:p>
    <w:p w14:paraId="361C272C" w14:textId="77777777" w:rsidR="005E01E4" w:rsidRPr="00806A79" w:rsidRDefault="005E01E4" w:rsidP="005E01E4">
      <w:pPr>
        <w:autoSpaceDE w:val="0"/>
        <w:autoSpaceDN w:val="0"/>
        <w:adjustRightInd w:val="0"/>
        <w:spacing w:after="0" w:line="240" w:lineRule="auto"/>
        <w:rPr>
          <w:rFonts w:ascii="Times New Roman" w:hAnsi="Times New Roman" w:cs="Times New Roman"/>
          <w:sz w:val="24"/>
          <w:szCs w:val="24"/>
        </w:rPr>
      </w:pPr>
    </w:p>
    <w:p w14:paraId="137664DB" w14:textId="7117A61D" w:rsidR="005E01E4" w:rsidRPr="00806A79" w:rsidRDefault="005E01E4" w:rsidP="005E01E4">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xml:space="preserve"> How did SAMHSA determine that 20% is an appropriate floor for spending on prevention strategies? </w:t>
      </w:r>
    </w:p>
    <w:p w14:paraId="334C8C4A" w14:textId="77777777" w:rsidR="005E01E4" w:rsidRPr="00806A79" w:rsidRDefault="005E01E4" w:rsidP="005E01E4">
      <w:pPr>
        <w:autoSpaceDE w:val="0"/>
        <w:autoSpaceDN w:val="0"/>
        <w:adjustRightInd w:val="0"/>
        <w:spacing w:after="0" w:line="240" w:lineRule="auto"/>
        <w:rPr>
          <w:rFonts w:ascii="Times New Roman" w:hAnsi="Times New Roman" w:cs="Times New Roman"/>
          <w:sz w:val="24"/>
          <w:szCs w:val="24"/>
        </w:rPr>
      </w:pPr>
    </w:p>
    <w:p w14:paraId="2DE43447" w14:textId="6454B3E7" w:rsidR="00B65B78" w:rsidRPr="00806A79" w:rsidRDefault="00031CB0" w:rsidP="000607E9">
      <w:pPr>
        <w:pStyle w:val="Default"/>
        <w:ind w:firstLine="720"/>
        <w:rPr>
          <w:color w:val="auto"/>
        </w:rPr>
      </w:pPr>
      <w:r w:rsidRPr="00806A79">
        <w:rPr>
          <w:color w:val="auto"/>
        </w:rPr>
        <w:t xml:space="preserve">SAMHSA and most of its programs and activities are authorized </w:t>
      </w:r>
      <w:r w:rsidR="00313F05">
        <w:rPr>
          <w:color w:val="auto"/>
        </w:rPr>
        <w:t>under</w:t>
      </w:r>
      <w:r w:rsidR="00313F05" w:rsidRPr="00806A79">
        <w:rPr>
          <w:color w:val="auto"/>
        </w:rPr>
        <w:t xml:space="preserve"> </w:t>
      </w:r>
      <w:r w:rsidRPr="00806A79">
        <w:rPr>
          <w:color w:val="auto"/>
        </w:rPr>
        <w:t xml:space="preserve">the Public Health Service Act (PHSA). </w:t>
      </w:r>
      <w:r w:rsidR="00313F05">
        <w:rPr>
          <w:color w:val="auto"/>
        </w:rPr>
        <w:t>The set-aside requirement, including the percent of funding that falls under the set-aside</w:t>
      </w:r>
      <w:r w:rsidR="00801016">
        <w:rPr>
          <w:color w:val="auto"/>
        </w:rPr>
        <w:t>,</w:t>
      </w:r>
      <w:r w:rsidR="00313F05">
        <w:rPr>
          <w:color w:val="auto"/>
        </w:rPr>
        <w:t xml:space="preserve">  were determined by Congress under </w:t>
      </w:r>
      <w:r w:rsidRPr="00806A79">
        <w:rPr>
          <w:color w:val="auto"/>
        </w:rPr>
        <w:t>PHSA Title XIX Part B</w:t>
      </w:r>
      <w:r w:rsidR="00D42B69" w:rsidRPr="00806A79">
        <w:rPr>
          <w:color w:val="auto"/>
        </w:rPr>
        <w:t xml:space="preserve">.  </w:t>
      </w:r>
    </w:p>
    <w:p w14:paraId="34DEB031" w14:textId="77777777" w:rsidR="003F2706" w:rsidRPr="00806A79" w:rsidRDefault="003F2706" w:rsidP="000D71B0">
      <w:pPr>
        <w:pStyle w:val="Default"/>
        <w:ind w:left="360"/>
        <w:rPr>
          <w:rFonts w:eastAsia="Times New Roman"/>
          <w:color w:val="auto"/>
        </w:rPr>
      </w:pPr>
    </w:p>
    <w:p w14:paraId="5309617F" w14:textId="2F7A8ABE" w:rsidR="005E01E4" w:rsidRPr="00806A79" w:rsidRDefault="005E01E4" w:rsidP="005E01E4">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xml:space="preserve"> How many grantees comply with the 20% minimum spending allotment on prevention? Can this percentage be improved? </w:t>
      </w:r>
    </w:p>
    <w:p w14:paraId="105505B8" w14:textId="77777777" w:rsidR="000607E9" w:rsidRPr="00806A79" w:rsidRDefault="000607E9" w:rsidP="005E01E4">
      <w:pPr>
        <w:pStyle w:val="Default"/>
        <w:rPr>
          <w:rFonts w:eastAsia="Times New Roman"/>
          <w:color w:val="auto"/>
        </w:rPr>
      </w:pPr>
    </w:p>
    <w:p w14:paraId="3B41E69E" w14:textId="213590AB" w:rsidR="003F2706" w:rsidRPr="00806A79" w:rsidRDefault="003F2706" w:rsidP="000607E9">
      <w:pPr>
        <w:pStyle w:val="Default"/>
        <w:ind w:firstLine="720"/>
        <w:rPr>
          <w:rFonts w:eastAsia="Times New Roman"/>
          <w:color w:val="auto"/>
        </w:rPr>
      </w:pPr>
      <w:r w:rsidRPr="00806A79">
        <w:rPr>
          <w:rFonts w:eastAsia="Times New Roman"/>
          <w:color w:val="auto"/>
        </w:rPr>
        <w:t>From FY 2019</w:t>
      </w:r>
      <w:r w:rsidR="00857A37">
        <w:rPr>
          <w:rFonts w:eastAsia="Times New Roman"/>
          <w:color w:val="auto"/>
        </w:rPr>
        <w:t xml:space="preserve"> to</w:t>
      </w:r>
      <w:r w:rsidRPr="00806A79">
        <w:rPr>
          <w:rFonts w:eastAsia="Times New Roman"/>
          <w:color w:val="auto"/>
        </w:rPr>
        <w:t xml:space="preserve"> FY 2021, 93</w:t>
      </w:r>
      <w:r w:rsidR="002A12BD">
        <w:rPr>
          <w:rFonts w:eastAsia="Times New Roman"/>
          <w:color w:val="auto"/>
        </w:rPr>
        <w:t xml:space="preserve"> percent</w:t>
      </w:r>
      <w:r w:rsidR="002A12BD" w:rsidRPr="00806A79">
        <w:rPr>
          <w:rFonts w:eastAsia="Times New Roman"/>
          <w:color w:val="auto"/>
        </w:rPr>
        <w:t xml:space="preserve"> </w:t>
      </w:r>
      <w:r w:rsidR="000607E9" w:rsidRPr="00806A79">
        <w:rPr>
          <w:rFonts w:eastAsia="Times New Roman"/>
          <w:color w:val="auto"/>
        </w:rPr>
        <w:t xml:space="preserve">of grantees </w:t>
      </w:r>
      <w:r w:rsidRPr="00806A79">
        <w:rPr>
          <w:rFonts w:eastAsia="Times New Roman"/>
          <w:color w:val="auto"/>
        </w:rPr>
        <w:t>complied with the minimum 20</w:t>
      </w:r>
      <w:r w:rsidR="002A12BD">
        <w:rPr>
          <w:rFonts w:eastAsia="Times New Roman"/>
          <w:color w:val="auto"/>
        </w:rPr>
        <w:t xml:space="preserve"> percent</w:t>
      </w:r>
      <w:r w:rsidR="002A12BD" w:rsidRPr="00806A79">
        <w:rPr>
          <w:rFonts w:eastAsia="Times New Roman"/>
          <w:color w:val="auto"/>
        </w:rPr>
        <w:t xml:space="preserve"> </w:t>
      </w:r>
      <w:r w:rsidRPr="00806A79">
        <w:rPr>
          <w:rFonts w:eastAsia="Times New Roman"/>
          <w:color w:val="auto"/>
        </w:rPr>
        <w:t>set-aside.</w:t>
      </w:r>
    </w:p>
    <w:p w14:paraId="05F51F02" w14:textId="77777777" w:rsidR="00046B47" w:rsidRPr="00806A79" w:rsidRDefault="00046B47" w:rsidP="000D71B0">
      <w:pPr>
        <w:pStyle w:val="Default"/>
        <w:rPr>
          <w:color w:val="auto"/>
        </w:rPr>
      </w:pPr>
    </w:p>
    <w:p w14:paraId="2969A86C" w14:textId="1EFBB535" w:rsidR="003F2706" w:rsidRPr="00806A79" w:rsidRDefault="000607E9" w:rsidP="000607E9">
      <w:pPr>
        <w:pStyle w:val="Default"/>
        <w:ind w:firstLine="720"/>
        <w:rPr>
          <w:color w:val="auto"/>
        </w:rPr>
      </w:pPr>
      <w:r w:rsidRPr="00806A79">
        <w:rPr>
          <w:color w:val="auto"/>
        </w:rPr>
        <w:t xml:space="preserve">This percentage can be improved. </w:t>
      </w:r>
      <w:r w:rsidR="003F2706" w:rsidRPr="00806A79">
        <w:rPr>
          <w:color w:val="auto"/>
        </w:rPr>
        <w:t xml:space="preserve">One strategy </w:t>
      </w:r>
      <w:r w:rsidR="00031CB0" w:rsidRPr="00806A79">
        <w:rPr>
          <w:color w:val="auto"/>
        </w:rPr>
        <w:t>S</w:t>
      </w:r>
      <w:r w:rsidR="003F2706" w:rsidRPr="00806A79">
        <w:rPr>
          <w:color w:val="auto"/>
        </w:rPr>
        <w:t>tates could use is to allocate more than 20</w:t>
      </w:r>
      <w:r w:rsidR="002A12BD">
        <w:rPr>
          <w:color w:val="auto"/>
        </w:rPr>
        <w:t xml:space="preserve"> percent</w:t>
      </w:r>
      <w:r w:rsidR="002A12BD" w:rsidRPr="00806A79">
        <w:rPr>
          <w:color w:val="auto"/>
        </w:rPr>
        <w:t xml:space="preserve"> </w:t>
      </w:r>
      <w:r w:rsidR="003F2706" w:rsidRPr="00806A79">
        <w:rPr>
          <w:color w:val="auto"/>
        </w:rPr>
        <w:t xml:space="preserve">to their subgrantees, allowing for a buffer if actual expenditures end up being less than originally budgeted.  States could also use this strategy for their own budget allocations.  </w:t>
      </w:r>
    </w:p>
    <w:p w14:paraId="556F01A3" w14:textId="77777777" w:rsidR="003F2706" w:rsidRPr="00806A79" w:rsidRDefault="003F2706" w:rsidP="000D71B0">
      <w:pPr>
        <w:pStyle w:val="Default"/>
        <w:ind w:left="360"/>
        <w:rPr>
          <w:color w:val="auto"/>
        </w:rPr>
      </w:pPr>
    </w:p>
    <w:p w14:paraId="4FBA3C5D" w14:textId="77777777" w:rsidR="005E01E4" w:rsidRPr="00806A79" w:rsidRDefault="005E01E4" w:rsidP="005E01E4">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xml:space="preserve"> How many grantees spend more than 20% on prevention, and does SAMHSA have data on prevention efficacy in connection to these grantees as compared to those who do no spend more than 20% on prevention? </w:t>
      </w:r>
    </w:p>
    <w:p w14:paraId="7D4A8292" w14:textId="77777777" w:rsidR="000607E9" w:rsidRPr="00806A79" w:rsidRDefault="000607E9" w:rsidP="005E01E4">
      <w:pPr>
        <w:pStyle w:val="Default"/>
        <w:rPr>
          <w:rFonts w:eastAsia="Times New Roman"/>
          <w:color w:val="auto"/>
        </w:rPr>
      </w:pPr>
    </w:p>
    <w:p w14:paraId="4927C651" w14:textId="130F953E" w:rsidR="003F2706" w:rsidRPr="00806A79" w:rsidRDefault="003F2706" w:rsidP="000607E9">
      <w:pPr>
        <w:pStyle w:val="Default"/>
        <w:ind w:firstLine="720"/>
        <w:rPr>
          <w:rFonts w:eastAsia="Times New Roman"/>
          <w:color w:val="auto"/>
        </w:rPr>
      </w:pPr>
      <w:r w:rsidRPr="00806A79">
        <w:rPr>
          <w:rFonts w:eastAsia="Times New Roman"/>
          <w:color w:val="auto"/>
        </w:rPr>
        <w:t>From FY 2019</w:t>
      </w:r>
      <w:r w:rsidR="00857A37">
        <w:rPr>
          <w:rFonts w:eastAsia="Times New Roman"/>
          <w:color w:val="auto"/>
        </w:rPr>
        <w:t xml:space="preserve"> to</w:t>
      </w:r>
      <w:r w:rsidRPr="00806A79">
        <w:rPr>
          <w:rFonts w:eastAsia="Times New Roman"/>
          <w:color w:val="auto"/>
        </w:rPr>
        <w:t xml:space="preserve"> FY 2021, 67</w:t>
      </w:r>
      <w:r w:rsidR="002A12BD">
        <w:rPr>
          <w:rFonts w:eastAsia="Times New Roman"/>
          <w:color w:val="auto"/>
        </w:rPr>
        <w:t xml:space="preserve"> percent</w:t>
      </w:r>
      <w:r w:rsidR="002A12BD" w:rsidRPr="00806A79">
        <w:rPr>
          <w:rFonts w:eastAsia="Times New Roman"/>
          <w:color w:val="auto"/>
        </w:rPr>
        <w:t xml:space="preserve"> </w:t>
      </w:r>
      <w:r w:rsidR="000607E9" w:rsidRPr="00806A79">
        <w:rPr>
          <w:rFonts w:eastAsia="Times New Roman"/>
          <w:color w:val="auto"/>
        </w:rPr>
        <w:t xml:space="preserve">of grantees </w:t>
      </w:r>
      <w:r w:rsidRPr="00806A79">
        <w:rPr>
          <w:rFonts w:eastAsia="Times New Roman"/>
          <w:color w:val="auto"/>
        </w:rPr>
        <w:t>expended more than 20</w:t>
      </w:r>
      <w:r w:rsidR="002A12BD">
        <w:rPr>
          <w:rFonts w:eastAsia="Times New Roman"/>
          <w:color w:val="auto"/>
        </w:rPr>
        <w:t xml:space="preserve"> percent </w:t>
      </w:r>
      <w:r w:rsidRPr="00806A79">
        <w:rPr>
          <w:rFonts w:eastAsia="Times New Roman"/>
          <w:color w:val="auto"/>
        </w:rPr>
        <w:t xml:space="preserve">on primary prevention. </w:t>
      </w:r>
    </w:p>
    <w:p w14:paraId="2E529633" w14:textId="1CA5AB94" w:rsidR="003F2706" w:rsidRPr="00806A79" w:rsidRDefault="003F2706" w:rsidP="005E01E4">
      <w:pPr>
        <w:pStyle w:val="Default"/>
        <w:rPr>
          <w:i/>
          <w:iCs/>
          <w:color w:val="auto"/>
        </w:rPr>
      </w:pPr>
    </w:p>
    <w:p w14:paraId="3158E0DE" w14:textId="2D2A5D0C" w:rsidR="003F2706" w:rsidRPr="00806A79" w:rsidRDefault="003F2706" w:rsidP="000607E9">
      <w:pPr>
        <w:pStyle w:val="Default"/>
        <w:ind w:firstLine="720"/>
        <w:rPr>
          <w:color w:val="auto"/>
        </w:rPr>
      </w:pPr>
      <w:r w:rsidRPr="00806A79">
        <w:rPr>
          <w:color w:val="auto"/>
        </w:rPr>
        <w:t>From</w:t>
      </w:r>
      <w:r w:rsidR="00913945" w:rsidRPr="00806A79">
        <w:rPr>
          <w:color w:val="auto"/>
        </w:rPr>
        <w:t xml:space="preserve"> SAMHSA’s</w:t>
      </w:r>
      <w:r w:rsidRPr="00806A79">
        <w:rPr>
          <w:color w:val="auto"/>
        </w:rPr>
        <w:t xml:space="preserve"> understanding, this type of </w:t>
      </w:r>
      <w:r w:rsidR="001474EA" w:rsidRPr="00806A79">
        <w:rPr>
          <w:color w:val="auto"/>
        </w:rPr>
        <w:t xml:space="preserve">comparison </w:t>
      </w:r>
      <w:r w:rsidRPr="00806A79">
        <w:rPr>
          <w:color w:val="auto"/>
        </w:rPr>
        <w:t>evaluation has not been conducted</w:t>
      </w:r>
      <w:r w:rsidR="00031CB0" w:rsidRPr="00806A79">
        <w:rPr>
          <w:color w:val="auto"/>
        </w:rPr>
        <w:t xml:space="preserve">.  Provided </w:t>
      </w:r>
      <w:r w:rsidR="00CD24D1" w:rsidRPr="00806A79">
        <w:rPr>
          <w:color w:val="auto"/>
        </w:rPr>
        <w:t xml:space="preserve">future </w:t>
      </w:r>
      <w:r w:rsidR="00031CB0" w:rsidRPr="00806A79">
        <w:rPr>
          <w:color w:val="auto"/>
        </w:rPr>
        <w:t xml:space="preserve">availability of appropriate evaluation funds for </w:t>
      </w:r>
      <w:r w:rsidR="00CD24D1" w:rsidRPr="00806A79">
        <w:rPr>
          <w:color w:val="auto"/>
        </w:rPr>
        <w:t xml:space="preserve">this particular question regarding </w:t>
      </w:r>
      <w:r w:rsidR="00031CB0" w:rsidRPr="00806A79">
        <w:rPr>
          <w:color w:val="auto"/>
        </w:rPr>
        <w:t>SABG</w:t>
      </w:r>
      <w:r w:rsidR="00D2279C" w:rsidRPr="00806A79">
        <w:rPr>
          <w:color w:val="auto"/>
        </w:rPr>
        <w:t xml:space="preserve"> prevention activities</w:t>
      </w:r>
      <w:r w:rsidR="00031CB0" w:rsidRPr="00806A79">
        <w:rPr>
          <w:color w:val="auto"/>
        </w:rPr>
        <w:t xml:space="preserve">, SAMHSA could conduct such assessments in </w:t>
      </w:r>
      <w:r w:rsidRPr="00806A79">
        <w:rPr>
          <w:color w:val="auto"/>
        </w:rPr>
        <w:t>the future.  </w:t>
      </w:r>
    </w:p>
    <w:p w14:paraId="39B78349" w14:textId="77777777" w:rsidR="00D3725B" w:rsidRPr="00806A79" w:rsidRDefault="00D3725B" w:rsidP="000D71B0">
      <w:pPr>
        <w:spacing w:after="0" w:line="240" w:lineRule="auto"/>
        <w:jc w:val="center"/>
        <w:rPr>
          <w:rFonts w:ascii="Times New Roman" w:hAnsi="Times New Roman" w:cs="Times New Roman"/>
          <w:sz w:val="24"/>
          <w:szCs w:val="24"/>
        </w:rPr>
      </w:pPr>
    </w:p>
    <w:p w14:paraId="2844E2E8" w14:textId="77777777" w:rsidR="000D35EE" w:rsidRPr="00806A79" w:rsidRDefault="000D35EE">
      <w:pPr>
        <w:rPr>
          <w:rFonts w:ascii="Times New Roman" w:hAnsi="Times New Roman" w:cs="Times New Roman"/>
          <w:b/>
          <w:bCs/>
          <w:sz w:val="24"/>
          <w:szCs w:val="24"/>
        </w:rPr>
      </w:pPr>
      <w:r w:rsidRPr="00806A79">
        <w:rPr>
          <w:rFonts w:ascii="Times New Roman" w:hAnsi="Times New Roman" w:cs="Times New Roman"/>
          <w:b/>
          <w:bCs/>
          <w:sz w:val="24"/>
          <w:szCs w:val="24"/>
        </w:rPr>
        <w:br w:type="page"/>
      </w:r>
    </w:p>
    <w:p w14:paraId="5D397506" w14:textId="6AE32D11" w:rsidR="008E5F7E" w:rsidRPr="00806A79" w:rsidRDefault="008E5F7E" w:rsidP="000D71B0">
      <w:pPr>
        <w:autoSpaceDE w:val="0"/>
        <w:autoSpaceDN w:val="0"/>
        <w:adjustRightInd w:val="0"/>
        <w:spacing w:after="0" w:line="240" w:lineRule="auto"/>
        <w:jc w:val="center"/>
        <w:rPr>
          <w:rFonts w:ascii="Times New Roman" w:hAnsi="Times New Roman" w:cs="Times New Roman"/>
          <w:sz w:val="24"/>
          <w:szCs w:val="24"/>
        </w:rPr>
      </w:pPr>
      <w:r w:rsidRPr="00806A79">
        <w:rPr>
          <w:rFonts w:ascii="Times New Roman" w:hAnsi="Times New Roman" w:cs="Times New Roman"/>
          <w:b/>
          <w:bCs/>
          <w:sz w:val="24"/>
          <w:szCs w:val="24"/>
        </w:rPr>
        <w:lastRenderedPageBreak/>
        <w:t>Questions for the Record from Senator James Risch</w:t>
      </w:r>
    </w:p>
    <w:p w14:paraId="004B5B2C" w14:textId="5FA4EBB1" w:rsidR="008E5F7E" w:rsidRPr="00806A79" w:rsidRDefault="008E5F7E" w:rsidP="000D71B0">
      <w:pPr>
        <w:autoSpaceDE w:val="0"/>
        <w:autoSpaceDN w:val="0"/>
        <w:adjustRightInd w:val="0"/>
        <w:spacing w:after="0" w:line="240" w:lineRule="auto"/>
        <w:jc w:val="center"/>
        <w:rPr>
          <w:rFonts w:ascii="Times New Roman" w:hAnsi="Times New Roman" w:cs="Times New Roman"/>
          <w:sz w:val="24"/>
          <w:szCs w:val="24"/>
        </w:rPr>
      </w:pPr>
      <w:r w:rsidRPr="00806A79">
        <w:rPr>
          <w:rFonts w:ascii="Times New Roman" w:hAnsi="Times New Roman" w:cs="Times New Roman"/>
          <w:b/>
          <w:bCs/>
          <w:sz w:val="24"/>
          <w:szCs w:val="24"/>
        </w:rPr>
        <w:t>U.S. Senate Caucus on International Narcotics Control</w:t>
      </w:r>
    </w:p>
    <w:p w14:paraId="65F5615A" w14:textId="54F2BD44" w:rsidR="008E5F7E" w:rsidRPr="00806A79" w:rsidRDefault="008E5F7E" w:rsidP="000D71B0">
      <w:pPr>
        <w:autoSpaceDE w:val="0"/>
        <w:autoSpaceDN w:val="0"/>
        <w:adjustRightInd w:val="0"/>
        <w:spacing w:after="0" w:line="240" w:lineRule="auto"/>
        <w:jc w:val="center"/>
        <w:rPr>
          <w:rFonts w:ascii="Times New Roman" w:hAnsi="Times New Roman" w:cs="Times New Roman"/>
          <w:sz w:val="24"/>
          <w:szCs w:val="24"/>
        </w:rPr>
      </w:pPr>
      <w:r w:rsidRPr="00806A79">
        <w:rPr>
          <w:rFonts w:ascii="Times New Roman" w:hAnsi="Times New Roman" w:cs="Times New Roman"/>
          <w:b/>
          <w:bCs/>
          <w:sz w:val="24"/>
          <w:szCs w:val="24"/>
        </w:rPr>
        <w:t>“The Federal Response to the Drug Overdose Epidemic”</w:t>
      </w:r>
    </w:p>
    <w:p w14:paraId="11A4A6A5" w14:textId="7F53BCFB" w:rsidR="008E5F7E" w:rsidRPr="00806A79" w:rsidRDefault="008E5F7E" w:rsidP="000D71B0">
      <w:pPr>
        <w:autoSpaceDE w:val="0"/>
        <w:autoSpaceDN w:val="0"/>
        <w:adjustRightInd w:val="0"/>
        <w:spacing w:after="0" w:line="240" w:lineRule="auto"/>
        <w:jc w:val="center"/>
        <w:rPr>
          <w:rFonts w:ascii="Times New Roman" w:hAnsi="Times New Roman" w:cs="Times New Roman"/>
          <w:sz w:val="24"/>
          <w:szCs w:val="24"/>
        </w:rPr>
      </w:pPr>
      <w:r w:rsidRPr="00806A79">
        <w:rPr>
          <w:rFonts w:ascii="Times New Roman" w:hAnsi="Times New Roman" w:cs="Times New Roman"/>
          <w:b/>
          <w:bCs/>
          <w:sz w:val="24"/>
          <w:szCs w:val="24"/>
        </w:rPr>
        <w:t>Submitted on July 27, 2021</w:t>
      </w:r>
    </w:p>
    <w:p w14:paraId="7499CDD9" w14:textId="77777777" w:rsidR="008E5F7E" w:rsidRPr="00806A79" w:rsidRDefault="008E5F7E" w:rsidP="000D71B0">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xml:space="preserve">1. Since 2003, there has been an alarming increase in methamphetamine abuse in Idaho, especially in the more rural parts of the state. It’s estimated that in 2016, approximately one Idahoan died each week from methamphetamine and about 7,000 Idahoans 12 and older used meth that same year with 120,000 having used meth in their lifetimes. </w:t>
      </w:r>
    </w:p>
    <w:p w14:paraId="2599FFF0" w14:textId="77777777" w:rsidR="008E5F7E" w:rsidRPr="00806A79" w:rsidRDefault="008E5F7E" w:rsidP="000D71B0">
      <w:pPr>
        <w:spacing w:after="0" w:line="240" w:lineRule="auto"/>
        <w:rPr>
          <w:rFonts w:ascii="Times New Roman" w:hAnsi="Times New Roman" w:cs="Times New Roman"/>
          <w:sz w:val="24"/>
          <w:szCs w:val="24"/>
        </w:rPr>
      </w:pPr>
    </w:p>
    <w:p w14:paraId="1CB6B387" w14:textId="77777777" w:rsidR="00DA5C51" w:rsidRPr="00806A79" w:rsidRDefault="00DA5C51" w:rsidP="00DA5C51">
      <w:pPr>
        <w:autoSpaceDE w:val="0"/>
        <w:autoSpaceDN w:val="0"/>
        <w:adjustRightInd w:val="0"/>
        <w:spacing w:after="0" w:line="240" w:lineRule="auto"/>
        <w:rPr>
          <w:rFonts w:ascii="Times New Roman" w:hAnsi="Times New Roman" w:cs="Times New Roman"/>
          <w:b/>
          <w:bCs/>
          <w:sz w:val="24"/>
          <w:szCs w:val="24"/>
        </w:rPr>
      </w:pPr>
      <w:r w:rsidRPr="00806A79">
        <w:rPr>
          <w:rFonts w:ascii="Times New Roman" w:hAnsi="Times New Roman" w:cs="Times New Roman"/>
          <w:b/>
          <w:bCs/>
          <w:sz w:val="24"/>
          <w:szCs w:val="24"/>
        </w:rPr>
        <w:t xml:space="preserve"> What types of treatment options are available for individuals with methamphetamine addiction, particularly for youths with this type of addiction? </w:t>
      </w:r>
    </w:p>
    <w:p w14:paraId="54273F6F" w14:textId="77777777" w:rsidR="00DA5C51" w:rsidRPr="00806A79" w:rsidRDefault="00DA5C51" w:rsidP="000D71B0">
      <w:pPr>
        <w:spacing w:after="0" w:line="240" w:lineRule="auto"/>
        <w:rPr>
          <w:rFonts w:ascii="Times New Roman" w:hAnsi="Times New Roman" w:cs="Times New Roman"/>
          <w:sz w:val="24"/>
          <w:szCs w:val="24"/>
        </w:rPr>
      </w:pPr>
    </w:p>
    <w:p w14:paraId="180FAB44" w14:textId="60C58798" w:rsidR="00E11DFB" w:rsidRDefault="008E5F7E" w:rsidP="00E11DFB">
      <w:pPr>
        <w:spacing w:after="0" w:line="240" w:lineRule="auto"/>
        <w:ind w:firstLine="720"/>
        <w:rPr>
          <w:rFonts w:ascii="Times New Roman" w:hAnsi="Times New Roman" w:cs="Times New Roman"/>
          <w:sz w:val="24"/>
          <w:szCs w:val="24"/>
        </w:rPr>
      </w:pPr>
      <w:r w:rsidRPr="00806A79">
        <w:rPr>
          <w:rFonts w:ascii="Times New Roman" w:hAnsi="Times New Roman" w:cs="Times New Roman"/>
          <w:sz w:val="24"/>
          <w:szCs w:val="24"/>
        </w:rPr>
        <w:t xml:space="preserve">Despite an increase in research into psychosocial treatments for people with stimulant use disorders, currently the only treatment with significant evidence of effectiveness is contingency management (CM). </w:t>
      </w:r>
      <w:r w:rsidR="00E11DFB">
        <w:rPr>
          <w:rFonts w:ascii="Times New Roman" w:hAnsi="Times New Roman" w:cs="Times New Roman"/>
          <w:sz w:val="24"/>
          <w:szCs w:val="24"/>
        </w:rPr>
        <w:t>CM is</w:t>
      </w:r>
      <w:r w:rsidR="00E11DFB">
        <w:rPr>
          <w:rStyle w:val="CommentReference"/>
        </w:rPr>
        <w:t xml:space="preserve"> </w:t>
      </w:r>
      <w:r w:rsidR="00E11DFB" w:rsidRPr="00E11DFB">
        <w:rPr>
          <w:rFonts w:ascii="Times New Roman" w:hAnsi="Times New Roman" w:cs="Times New Roman"/>
          <w:sz w:val="24"/>
          <w:szCs w:val="24"/>
        </w:rPr>
        <w:t>a behavioral</w:t>
      </w:r>
      <w:r w:rsidR="00E11DFB">
        <w:rPr>
          <w:rFonts w:ascii="Times New Roman" w:hAnsi="Times New Roman" w:cs="Times New Roman"/>
          <w:sz w:val="24"/>
          <w:szCs w:val="24"/>
        </w:rPr>
        <w:t xml:space="preserve"> </w:t>
      </w:r>
      <w:r w:rsidR="00E11DFB" w:rsidRPr="00E11DFB">
        <w:rPr>
          <w:rFonts w:ascii="Times New Roman" w:hAnsi="Times New Roman" w:cs="Times New Roman"/>
          <w:sz w:val="24"/>
          <w:szCs w:val="24"/>
        </w:rPr>
        <w:t>intervention grounded in operant conditioning theory,</w:t>
      </w:r>
      <w:r w:rsidR="00E11DFB">
        <w:rPr>
          <w:rFonts w:ascii="Times New Roman" w:hAnsi="Times New Roman" w:cs="Times New Roman"/>
          <w:sz w:val="24"/>
          <w:szCs w:val="24"/>
        </w:rPr>
        <w:t xml:space="preserve"> </w:t>
      </w:r>
      <w:r w:rsidR="00E11DFB" w:rsidRPr="00E11DFB">
        <w:rPr>
          <w:rFonts w:ascii="Times New Roman" w:hAnsi="Times New Roman" w:cs="Times New Roman"/>
          <w:sz w:val="24"/>
          <w:szCs w:val="24"/>
        </w:rPr>
        <w:t>which asserts that individual behaviors can be shaped by</w:t>
      </w:r>
      <w:r w:rsidR="00E11DFB">
        <w:rPr>
          <w:rFonts w:ascii="Times New Roman" w:hAnsi="Times New Roman" w:cs="Times New Roman"/>
          <w:sz w:val="24"/>
          <w:szCs w:val="24"/>
        </w:rPr>
        <w:t xml:space="preserve"> </w:t>
      </w:r>
      <w:r w:rsidR="00E11DFB" w:rsidRPr="00E11DFB">
        <w:rPr>
          <w:rFonts w:ascii="Times New Roman" w:hAnsi="Times New Roman" w:cs="Times New Roman"/>
          <w:sz w:val="24"/>
          <w:szCs w:val="24"/>
        </w:rPr>
        <w:t>external reinforcement schedules.</w:t>
      </w:r>
      <w:r w:rsidR="00E11DFB">
        <w:rPr>
          <w:rFonts w:ascii="Times New Roman" w:hAnsi="Times New Roman" w:cs="Times New Roman"/>
          <w:sz w:val="24"/>
          <w:szCs w:val="24"/>
        </w:rPr>
        <w:t xml:space="preserve"> </w:t>
      </w:r>
      <w:r w:rsidR="00E11DFB" w:rsidRPr="00E11DFB">
        <w:rPr>
          <w:rFonts w:ascii="Times New Roman" w:hAnsi="Times New Roman" w:cs="Times New Roman"/>
          <w:sz w:val="24"/>
          <w:szCs w:val="24"/>
        </w:rPr>
        <w:t>Operant conditioning</w:t>
      </w:r>
      <w:r w:rsidR="00E11DFB">
        <w:rPr>
          <w:rFonts w:ascii="Times New Roman" w:hAnsi="Times New Roman" w:cs="Times New Roman"/>
          <w:sz w:val="24"/>
          <w:szCs w:val="24"/>
        </w:rPr>
        <w:t xml:space="preserve"> </w:t>
      </w:r>
      <w:r w:rsidR="00E11DFB" w:rsidRPr="00E11DFB">
        <w:rPr>
          <w:rFonts w:ascii="Times New Roman" w:hAnsi="Times New Roman" w:cs="Times New Roman"/>
          <w:sz w:val="24"/>
          <w:szCs w:val="24"/>
        </w:rPr>
        <w:t>explains how people learn new behaviors and CM</w:t>
      </w:r>
      <w:r w:rsidR="00E11DFB">
        <w:rPr>
          <w:rFonts w:ascii="Times New Roman" w:hAnsi="Times New Roman" w:cs="Times New Roman"/>
          <w:sz w:val="24"/>
          <w:szCs w:val="24"/>
        </w:rPr>
        <w:t xml:space="preserve"> </w:t>
      </w:r>
      <w:r w:rsidR="00E11DFB" w:rsidRPr="00E11DFB">
        <w:rPr>
          <w:rFonts w:ascii="Times New Roman" w:hAnsi="Times New Roman" w:cs="Times New Roman"/>
          <w:sz w:val="24"/>
          <w:szCs w:val="24"/>
        </w:rPr>
        <w:t>reinforces positive behaviors with prizes, privileges, or incentives (e.g., gift cards).</w:t>
      </w:r>
      <w:r w:rsidR="00E11DFB">
        <w:rPr>
          <w:rFonts w:ascii="Times New Roman" w:hAnsi="Times New Roman" w:cs="Times New Roman"/>
          <w:sz w:val="24"/>
          <w:szCs w:val="24"/>
        </w:rPr>
        <w:t xml:space="preserve"> </w:t>
      </w:r>
      <w:r w:rsidR="00E11DFB" w:rsidRPr="00E11DFB">
        <w:rPr>
          <w:rFonts w:ascii="Times New Roman" w:hAnsi="Times New Roman" w:cs="Times New Roman"/>
          <w:sz w:val="24"/>
          <w:szCs w:val="24"/>
        </w:rPr>
        <w:t>Reinforcement is typically provided in the form of either</w:t>
      </w:r>
      <w:r w:rsidR="00E11DFB">
        <w:rPr>
          <w:rFonts w:ascii="Times New Roman" w:hAnsi="Times New Roman" w:cs="Times New Roman"/>
          <w:sz w:val="24"/>
          <w:szCs w:val="24"/>
        </w:rPr>
        <w:t xml:space="preserve"> </w:t>
      </w:r>
      <w:r w:rsidR="00E11DFB" w:rsidRPr="00E11DFB">
        <w:rPr>
          <w:rFonts w:ascii="Times New Roman" w:hAnsi="Times New Roman" w:cs="Times New Roman"/>
          <w:sz w:val="24"/>
          <w:szCs w:val="24"/>
        </w:rPr>
        <w:t xml:space="preserve">contingent prize draws or contingent vouchers. </w:t>
      </w:r>
    </w:p>
    <w:p w14:paraId="702EFFBE" w14:textId="77777777" w:rsidR="00E11DFB" w:rsidRDefault="00E11DFB" w:rsidP="00E11DFB">
      <w:pPr>
        <w:spacing w:after="0" w:line="240" w:lineRule="auto"/>
        <w:ind w:firstLine="720"/>
        <w:rPr>
          <w:rFonts w:ascii="Times New Roman" w:hAnsi="Times New Roman" w:cs="Times New Roman"/>
          <w:sz w:val="24"/>
          <w:szCs w:val="24"/>
        </w:rPr>
      </w:pPr>
    </w:p>
    <w:p w14:paraId="546893FE" w14:textId="2811F66B" w:rsidR="008E5F7E" w:rsidRPr="00806A79" w:rsidRDefault="008E5F7E" w:rsidP="00DA5C51">
      <w:pPr>
        <w:spacing w:after="0" w:line="240" w:lineRule="auto"/>
        <w:ind w:firstLine="720"/>
        <w:rPr>
          <w:rFonts w:ascii="Times New Roman" w:hAnsi="Times New Roman" w:cs="Times New Roman"/>
          <w:sz w:val="24"/>
          <w:szCs w:val="24"/>
        </w:rPr>
      </w:pPr>
      <w:r w:rsidRPr="00806A79">
        <w:rPr>
          <w:rFonts w:ascii="Times New Roman" w:hAnsi="Times New Roman" w:cs="Times New Roman"/>
          <w:sz w:val="24"/>
          <w:szCs w:val="24"/>
        </w:rPr>
        <w:t xml:space="preserve">Other psychosocial treatments that have some support (especially if used in combination with CM) are cognitive–behavioral therapy/relapse prevention, community reinforcement, and motivational interviewing. These interventions demonstrate efficacy in treating stimulant use disorder across age ranges. </w:t>
      </w:r>
    </w:p>
    <w:p w14:paraId="2183D638" w14:textId="77777777" w:rsidR="00DA5C51" w:rsidRPr="00806A79" w:rsidRDefault="00DA5C51" w:rsidP="000D71B0">
      <w:pPr>
        <w:spacing w:after="0" w:line="240" w:lineRule="auto"/>
        <w:rPr>
          <w:rFonts w:ascii="Times New Roman" w:hAnsi="Times New Roman" w:cs="Times New Roman"/>
          <w:sz w:val="24"/>
          <w:szCs w:val="24"/>
        </w:rPr>
      </w:pPr>
    </w:p>
    <w:p w14:paraId="36109320" w14:textId="6E3745E6" w:rsidR="008E5F7E" w:rsidRPr="00806A79" w:rsidRDefault="008E5F7E" w:rsidP="00DA5C51">
      <w:pPr>
        <w:spacing w:after="0" w:line="240" w:lineRule="auto"/>
        <w:ind w:firstLine="720"/>
        <w:rPr>
          <w:rFonts w:ascii="Times New Roman" w:hAnsi="Times New Roman" w:cs="Times New Roman"/>
          <w:sz w:val="24"/>
          <w:szCs w:val="24"/>
        </w:rPr>
      </w:pPr>
      <w:r w:rsidRPr="00806A79">
        <w:rPr>
          <w:rFonts w:ascii="Times New Roman" w:hAnsi="Times New Roman" w:cs="Times New Roman"/>
          <w:sz w:val="24"/>
          <w:szCs w:val="24"/>
        </w:rPr>
        <w:t xml:space="preserve">There currently are no </w:t>
      </w:r>
      <w:r w:rsidR="001A7BC8">
        <w:rPr>
          <w:rFonts w:ascii="Times New Roman" w:hAnsi="Times New Roman" w:cs="Times New Roman"/>
          <w:sz w:val="24"/>
          <w:szCs w:val="24"/>
        </w:rPr>
        <w:t>FDA</w:t>
      </w:r>
      <w:r w:rsidRPr="00806A79">
        <w:rPr>
          <w:rFonts w:ascii="Times New Roman" w:hAnsi="Times New Roman" w:cs="Times New Roman"/>
          <w:sz w:val="24"/>
          <w:szCs w:val="24"/>
        </w:rPr>
        <w:t>-approved medications for stimulant use disorders, making it even more important that behavioral health and healthcare service providers understand and offer (or offer referrals for) CM or other psychosocial treatments. Other nonpharmacologic treatment approaches and strategies may also be useful for supporting recovery and improving health and well-being, including physical exercise, the Matrix model of neurobehavioral treatment</w:t>
      </w:r>
      <w:r w:rsidR="00EE3AEE">
        <w:rPr>
          <w:rFonts w:ascii="Times New Roman" w:hAnsi="Times New Roman" w:cs="Times New Roman"/>
          <w:sz w:val="24"/>
          <w:szCs w:val="24"/>
        </w:rPr>
        <w:t xml:space="preserve"> – </w:t>
      </w:r>
      <w:r w:rsidR="00EE3AEE" w:rsidRPr="00EE3AEE">
        <w:rPr>
          <w:rFonts w:ascii="Times New Roman" w:hAnsi="Times New Roman" w:cs="Times New Roman"/>
          <w:sz w:val="24"/>
          <w:szCs w:val="24"/>
        </w:rPr>
        <w:t>a comprehensive, multi-format program that covers six key clinical areas</w:t>
      </w:r>
      <w:r w:rsidR="00EE3AEE">
        <w:rPr>
          <w:rFonts w:ascii="Times New Roman" w:hAnsi="Times New Roman" w:cs="Times New Roman"/>
          <w:sz w:val="24"/>
          <w:szCs w:val="24"/>
        </w:rPr>
        <w:t xml:space="preserve"> (</w:t>
      </w:r>
      <w:r w:rsidR="00EE3AEE" w:rsidRPr="00EE3AEE">
        <w:rPr>
          <w:rFonts w:ascii="Times New Roman" w:hAnsi="Times New Roman" w:cs="Times New Roman"/>
          <w:sz w:val="24"/>
          <w:szCs w:val="24"/>
        </w:rPr>
        <w:t>therapy</w:t>
      </w:r>
      <w:r w:rsidR="00EE3AEE">
        <w:rPr>
          <w:rFonts w:ascii="Times New Roman" w:hAnsi="Times New Roman" w:cs="Times New Roman"/>
          <w:sz w:val="24"/>
          <w:szCs w:val="24"/>
        </w:rPr>
        <w:t>, e</w:t>
      </w:r>
      <w:r w:rsidR="00EE3AEE" w:rsidRPr="00EE3AEE">
        <w:rPr>
          <w:rFonts w:ascii="Times New Roman" w:hAnsi="Times New Roman" w:cs="Times New Roman"/>
          <w:sz w:val="24"/>
          <w:szCs w:val="24"/>
        </w:rPr>
        <w:t>arly recovery</w:t>
      </w:r>
      <w:r w:rsidR="00EE3AEE">
        <w:rPr>
          <w:rFonts w:ascii="Times New Roman" w:hAnsi="Times New Roman" w:cs="Times New Roman"/>
          <w:sz w:val="24"/>
          <w:szCs w:val="24"/>
        </w:rPr>
        <w:t>, r</w:t>
      </w:r>
      <w:r w:rsidR="00EE3AEE" w:rsidRPr="00EE3AEE">
        <w:rPr>
          <w:rFonts w:ascii="Times New Roman" w:hAnsi="Times New Roman" w:cs="Times New Roman"/>
          <w:sz w:val="24"/>
          <w:szCs w:val="24"/>
        </w:rPr>
        <w:t>elapse prevention</w:t>
      </w:r>
      <w:r w:rsidRPr="00806A79">
        <w:rPr>
          <w:rFonts w:ascii="Times New Roman" w:hAnsi="Times New Roman" w:cs="Times New Roman"/>
          <w:sz w:val="24"/>
          <w:szCs w:val="24"/>
        </w:rPr>
        <w:t xml:space="preserve">, family </w:t>
      </w:r>
      <w:r w:rsidR="00EE3AEE" w:rsidRPr="00EE3AEE">
        <w:rPr>
          <w:rFonts w:ascii="Times New Roman" w:hAnsi="Times New Roman" w:cs="Times New Roman"/>
          <w:sz w:val="24"/>
          <w:szCs w:val="24"/>
        </w:rPr>
        <w:t>education</w:t>
      </w:r>
      <w:r w:rsidR="00EE3AEE">
        <w:rPr>
          <w:rFonts w:ascii="Times New Roman" w:hAnsi="Times New Roman" w:cs="Times New Roman"/>
          <w:sz w:val="24"/>
          <w:szCs w:val="24"/>
        </w:rPr>
        <w:t>, s</w:t>
      </w:r>
      <w:r w:rsidR="00EE3AEE" w:rsidRPr="00EE3AEE">
        <w:rPr>
          <w:rFonts w:ascii="Times New Roman" w:hAnsi="Times New Roman" w:cs="Times New Roman"/>
          <w:sz w:val="24"/>
          <w:szCs w:val="24"/>
        </w:rPr>
        <w:t>ocial support</w:t>
      </w:r>
      <w:r w:rsidR="00EE3AEE">
        <w:rPr>
          <w:rFonts w:ascii="Times New Roman" w:hAnsi="Times New Roman" w:cs="Times New Roman"/>
          <w:sz w:val="24"/>
          <w:szCs w:val="24"/>
        </w:rPr>
        <w:t xml:space="preserve"> and drugs</w:t>
      </w:r>
      <w:r w:rsidR="00EE3AEE" w:rsidRPr="00EE3AEE">
        <w:rPr>
          <w:rFonts w:ascii="Times New Roman" w:hAnsi="Times New Roman" w:cs="Times New Roman"/>
          <w:sz w:val="24"/>
          <w:szCs w:val="24"/>
        </w:rPr>
        <w:t xml:space="preserve"> testing</w:t>
      </w:r>
      <w:r w:rsidR="00EE3AEE">
        <w:rPr>
          <w:rFonts w:ascii="Times New Roman" w:hAnsi="Times New Roman" w:cs="Times New Roman"/>
          <w:sz w:val="24"/>
          <w:szCs w:val="24"/>
        </w:rPr>
        <w:t>)</w:t>
      </w:r>
      <w:r w:rsidRPr="00806A79">
        <w:rPr>
          <w:rFonts w:ascii="Times New Roman" w:hAnsi="Times New Roman" w:cs="Times New Roman"/>
          <w:sz w:val="24"/>
          <w:szCs w:val="24"/>
        </w:rPr>
        <w:t>, family or couples therapy, and mindfulness meditation. Numerous clinical management strategies have been developed to deal with several clinical issues common in people with stimulant use disorders, like cognitive problems, intoxication issues, and co-occurring mental disorders.</w:t>
      </w:r>
    </w:p>
    <w:p w14:paraId="635BE3FA" w14:textId="77777777" w:rsidR="00DA5C51" w:rsidRPr="00806A79" w:rsidRDefault="00DA5C51" w:rsidP="000D71B0">
      <w:pPr>
        <w:spacing w:after="0" w:line="240" w:lineRule="auto"/>
        <w:rPr>
          <w:rFonts w:ascii="Times New Roman" w:hAnsi="Times New Roman" w:cs="Times New Roman"/>
          <w:sz w:val="24"/>
          <w:szCs w:val="24"/>
        </w:rPr>
      </w:pPr>
    </w:p>
    <w:p w14:paraId="6BA9E1BC" w14:textId="3CDDA00A" w:rsidR="008E5F7E" w:rsidRPr="00806A79" w:rsidRDefault="008E5F7E" w:rsidP="00DA5C51">
      <w:pPr>
        <w:spacing w:after="0" w:line="240" w:lineRule="auto"/>
        <w:ind w:firstLine="720"/>
        <w:rPr>
          <w:rFonts w:ascii="Times New Roman" w:hAnsi="Times New Roman" w:cs="Times New Roman"/>
          <w:sz w:val="24"/>
          <w:szCs w:val="24"/>
        </w:rPr>
      </w:pPr>
      <w:r w:rsidRPr="00806A79">
        <w:rPr>
          <w:rFonts w:ascii="Times New Roman" w:hAnsi="Times New Roman" w:cs="Times New Roman"/>
          <w:sz w:val="24"/>
          <w:szCs w:val="24"/>
        </w:rPr>
        <w:t xml:space="preserve">In treating stimulant use disorder, clinicians should also promote harm reduction (especially because of the high level of contamination of the drug supply with fentanyl and analogs) through educating about </w:t>
      </w:r>
      <w:r w:rsidR="00F86D44" w:rsidRPr="00806A79">
        <w:rPr>
          <w:rFonts w:ascii="Times New Roman" w:hAnsi="Times New Roman" w:cs="Times New Roman"/>
          <w:sz w:val="24"/>
          <w:szCs w:val="24"/>
        </w:rPr>
        <w:t>syringe services</w:t>
      </w:r>
      <w:r w:rsidRPr="00806A79">
        <w:rPr>
          <w:rFonts w:ascii="Times New Roman" w:hAnsi="Times New Roman" w:cs="Times New Roman"/>
          <w:sz w:val="24"/>
          <w:szCs w:val="24"/>
        </w:rPr>
        <w:t xml:space="preserve"> programs, offering naloxone, and encouraging the use of fentanyl test strips, as these strategies can help save lives.</w:t>
      </w:r>
    </w:p>
    <w:p w14:paraId="307B1B7A" w14:textId="77777777" w:rsidR="00DA5C51" w:rsidRPr="00806A79" w:rsidRDefault="00DA5C51" w:rsidP="000D71B0">
      <w:pPr>
        <w:spacing w:after="0" w:line="240" w:lineRule="auto"/>
        <w:rPr>
          <w:rFonts w:ascii="Times New Roman" w:hAnsi="Times New Roman" w:cs="Times New Roman"/>
          <w:b/>
          <w:bCs/>
          <w:sz w:val="24"/>
          <w:szCs w:val="24"/>
        </w:rPr>
      </w:pPr>
    </w:p>
    <w:p w14:paraId="683B43E6" w14:textId="2A7EC0AB" w:rsidR="008E5F7E" w:rsidRPr="00806A79" w:rsidRDefault="00DA5C51" w:rsidP="000D71B0">
      <w:pPr>
        <w:spacing w:after="0" w:line="240" w:lineRule="auto"/>
        <w:rPr>
          <w:rFonts w:ascii="Times New Roman" w:hAnsi="Times New Roman" w:cs="Times New Roman"/>
          <w:sz w:val="24"/>
          <w:szCs w:val="24"/>
        </w:rPr>
      </w:pPr>
      <w:r w:rsidRPr="00806A79">
        <w:rPr>
          <w:rFonts w:ascii="Times New Roman" w:hAnsi="Times New Roman" w:cs="Times New Roman"/>
          <w:b/>
          <w:bCs/>
          <w:sz w:val="24"/>
          <w:szCs w:val="24"/>
        </w:rPr>
        <w:t xml:space="preserve"> Are there any types of new treatments in the pipeline? </w:t>
      </w:r>
    </w:p>
    <w:p w14:paraId="5A925BA6" w14:textId="77777777" w:rsidR="00DA5C51" w:rsidRPr="00806A79" w:rsidRDefault="00DA5C51" w:rsidP="000D71B0">
      <w:pPr>
        <w:spacing w:after="0" w:line="240" w:lineRule="auto"/>
        <w:rPr>
          <w:rFonts w:ascii="Times New Roman" w:hAnsi="Times New Roman" w:cs="Times New Roman"/>
          <w:sz w:val="24"/>
          <w:szCs w:val="24"/>
        </w:rPr>
      </w:pPr>
    </w:p>
    <w:p w14:paraId="164DF0FC" w14:textId="11C57F1B" w:rsidR="008E5F7E" w:rsidRPr="000D71B0" w:rsidRDefault="008E5F7E" w:rsidP="00DA5C51">
      <w:pPr>
        <w:spacing w:after="0" w:line="240" w:lineRule="auto"/>
        <w:ind w:firstLine="720"/>
        <w:rPr>
          <w:rFonts w:ascii="Times New Roman" w:hAnsi="Times New Roman" w:cs="Times New Roman"/>
          <w:sz w:val="24"/>
          <w:szCs w:val="24"/>
        </w:rPr>
      </w:pPr>
      <w:r w:rsidRPr="00806A79">
        <w:rPr>
          <w:rFonts w:ascii="Times New Roman" w:hAnsi="Times New Roman" w:cs="Times New Roman"/>
          <w:sz w:val="24"/>
          <w:szCs w:val="24"/>
        </w:rPr>
        <w:t>The National Institute on Drug Abuse</w:t>
      </w:r>
      <w:r w:rsidR="00F86D44" w:rsidRPr="00806A79">
        <w:rPr>
          <w:rFonts w:ascii="Times New Roman" w:hAnsi="Times New Roman" w:cs="Times New Roman"/>
          <w:sz w:val="24"/>
          <w:szCs w:val="24"/>
        </w:rPr>
        <w:t xml:space="preserve"> is</w:t>
      </w:r>
      <w:r w:rsidRPr="00806A79">
        <w:rPr>
          <w:rFonts w:ascii="Times New Roman" w:hAnsi="Times New Roman" w:cs="Times New Roman"/>
          <w:sz w:val="24"/>
          <w:szCs w:val="24"/>
        </w:rPr>
        <w:t xml:space="preserve"> fund</w:t>
      </w:r>
      <w:r w:rsidR="00F86D44" w:rsidRPr="00806A79">
        <w:rPr>
          <w:rFonts w:ascii="Times New Roman" w:hAnsi="Times New Roman" w:cs="Times New Roman"/>
          <w:sz w:val="24"/>
          <w:szCs w:val="24"/>
        </w:rPr>
        <w:t>ing</w:t>
      </w:r>
      <w:r w:rsidRPr="00806A79">
        <w:rPr>
          <w:rFonts w:ascii="Times New Roman" w:hAnsi="Times New Roman" w:cs="Times New Roman"/>
          <w:sz w:val="24"/>
          <w:szCs w:val="24"/>
        </w:rPr>
        <w:t xml:space="preserve"> multiple investigations in an effort to </w:t>
      </w:r>
      <w:r w:rsidR="00CD24D1" w:rsidRPr="00806A79">
        <w:rPr>
          <w:rFonts w:ascii="Times New Roman" w:hAnsi="Times New Roman" w:cs="Times New Roman"/>
          <w:sz w:val="24"/>
          <w:szCs w:val="24"/>
        </w:rPr>
        <w:t xml:space="preserve">identify and determine effective </w:t>
      </w:r>
      <w:r w:rsidRPr="00806A79">
        <w:rPr>
          <w:rFonts w:ascii="Times New Roman" w:hAnsi="Times New Roman" w:cs="Times New Roman"/>
          <w:sz w:val="24"/>
          <w:szCs w:val="24"/>
        </w:rPr>
        <w:t>new pharmaceutical interventions</w:t>
      </w:r>
      <w:r w:rsidR="00F86D44" w:rsidRPr="00806A79">
        <w:rPr>
          <w:rFonts w:ascii="Times New Roman" w:hAnsi="Times New Roman" w:cs="Times New Roman"/>
          <w:sz w:val="24"/>
          <w:szCs w:val="24"/>
        </w:rPr>
        <w:t xml:space="preserve"> for methamphetamine and </w:t>
      </w:r>
      <w:r w:rsidR="00F86D44" w:rsidRPr="00806A79">
        <w:rPr>
          <w:rFonts w:ascii="Times New Roman" w:hAnsi="Times New Roman" w:cs="Times New Roman"/>
          <w:sz w:val="24"/>
          <w:szCs w:val="24"/>
        </w:rPr>
        <w:lastRenderedPageBreak/>
        <w:t>other stimulant use disorders</w:t>
      </w:r>
      <w:r w:rsidRPr="00806A79">
        <w:rPr>
          <w:rFonts w:ascii="Times New Roman" w:hAnsi="Times New Roman" w:cs="Times New Roman"/>
          <w:sz w:val="24"/>
          <w:szCs w:val="24"/>
        </w:rPr>
        <w:t>. This important support allows researchers to investigate new interventions.</w:t>
      </w:r>
    </w:p>
    <w:p w14:paraId="4722BB8E" w14:textId="77777777" w:rsidR="008E5F7E" w:rsidRPr="008E5F7E" w:rsidRDefault="008E5F7E" w:rsidP="000D71B0">
      <w:pPr>
        <w:spacing w:after="0" w:line="240" w:lineRule="auto"/>
        <w:rPr>
          <w:rFonts w:ascii="Garamond" w:hAnsi="Garamond" w:cs="Times New Roman"/>
        </w:rPr>
      </w:pPr>
    </w:p>
    <w:p w14:paraId="04FF2B74" w14:textId="77777777" w:rsidR="008E5F7E" w:rsidRPr="008E5F7E" w:rsidRDefault="008E5F7E" w:rsidP="000D71B0">
      <w:pPr>
        <w:autoSpaceDE w:val="0"/>
        <w:autoSpaceDN w:val="0"/>
        <w:adjustRightInd w:val="0"/>
        <w:spacing w:after="0" w:line="240" w:lineRule="auto"/>
        <w:rPr>
          <w:rFonts w:ascii="Times New Roman" w:hAnsi="Times New Roman" w:cs="Times New Roman"/>
          <w:b/>
          <w:bCs/>
          <w:color w:val="000000"/>
          <w:sz w:val="23"/>
          <w:szCs w:val="23"/>
        </w:rPr>
      </w:pPr>
    </w:p>
    <w:p w14:paraId="50344ACE" w14:textId="0E981E17" w:rsidR="003F2706" w:rsidRPr="00F36FD3" w:rsidRDefault="003F2706">
      <w:pPr>
        <w:rPr>
          <w:rFonts w:ascii="Times New Roman" w:hAnsi="Times New Roman" w:cs="Times New Roman"/>
          <w:sz w:val="24"/>
          <w:szCs w:val="24"/>
        </w:rPr>
      </w:pPr>
    </w:p>
    <w:p w14:paraId="01269F06" w14:textId="77777777" w:rsidR="003F2706" w:rsidRPr="00F36FD3" w:rsidRDefault="003F2706">
      <w:pPr>
        <w:rPr>
          <w:rFonts w:ascii="Times New Roman" w:hAnsi="Times New Roman" w:cs="Times New Roman"/>
          <w:sz w:val="24"/>
          <w:szCs w:val="24"/>
        </w:rPr>
      </w:pPr>
    </w:p>
    <w:sectPr w:rsidR="003F2706" w:rsidRPr="00F36FD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01B1C" w14:textId="77777777" w:rsidR="00A800E0" w:rsidRDefault="00A800E0" w:rsidP="0011150D">
      <w:pPr>
        <w:spacing w:after="0" w:line="240" w:lineRule="auto"/>
      </w:pPr>
      <w:r>
        <w:separator/>
      </w:r>
    </w:p>
  </w:endnote>
  <w:endnote w:type="continuationSeparator" w:id="0">
    <w:p w14:paraId="79C9B9E5" w14:textId="77777777" w:rsidR="00A800E0" w:rsidRDefault="00A800E0" w:rsidP="0011150D">
      <w:pPr>
        <w:spacing w:after="0" w:line="240" w:lineRule="auto"/>
      </w:pPr>
      <w:r>
        <w:continuationSeparator/>
      </w:r>
    </w:p>
  </w:endnote>
  <w:endnote w:type="continuationNotice" w:id="1">
    <w:p w14:paraId="126F834A" w14:textId="77777777" w:rsidR="00A800E0" w:rsidRDefault="00A80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713211"/>
      <w:docPartObj>
        <w:docPartGallery w:val="Page Numbers (Bottom of Page)"/>
        <w:docPartUnique/>
      </w:docPartObj>
    </w:sdtPr>
    <w:sdtEndPr>
      <w:rPr>
        <w:noProof/>
      </w:rPr>
    </w:sdtEndPr>
    <w:sdtContent>
      <w:p w14:paraId="19DC287F" w14:textId="338B4E77" w:rsidR="000E1F29" w:rsidRDefault="000E1F29">
        <w:pPr>
          <w:pStyle w:val="Footer"/>
          <w:jc w:val="right"/>
        </w:pPr>
        <w:r>
          <w:fldChar w:fldCharType="begin"/>
        </w:r>
        <w:r>
          <w:instrText xml:space="preserve"> PAGE   \* MERGEFORMAT </w:instrText>
        </w:r>
        <w:r>
          <w:fldChar w:fldCharType="separate"/>
        </w:r>
        <w:r w:rsidR="008C5251">
          <w:rPr>
            <w:noProof/>
          </w:rPr>
          <w:t>12</w:t>
        </w:r>
        <w:r>
          <w:rPr>
            <w:noProof/>
          </w:rPr>
          <w:fldChar w:fldCharType="end"/>
        </w:r>
      </w:p>
    </w:sdtContent>
  </w:sdt>
  <w:p w14:paraId="2041340E" w14:textId="77777777" w:rsidR="000E1F29" w:rsidRDefault="000E1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0287D" w14:textId="77777777" w:rsidR="00A800E0" w:rsidRDefault="00A800E0" w:rsidP="0011150D">
      <w:pPr>
        <w:spacing w:after="0" w:line="240" w:lineRule="auto"/>
      </w:pPr>
      <w:r>
        <w:separator/>
      </w:r>
    </w:p>
  </w:footnote>
  <w:footnote w:type="continuationSeparator" w:id="0">
    <w:p w14:paraId="199543E4" w14:textId="77777777" w:rsidR="00A800E0" w:rsidRDefault="00A800E0" w:rsidP="0011150D">
      <w:pPr>
        <w:spacing w:after="0" w:line="240" w:lineRule="auto"/>
      </w:pPr>
      <w:r>
        <w:continuationSeparator/>
      </w:r>
    </w:p>
  </w:footnote>
  <w:footnote w:type="continuationNotice" w:id="1">
    <w:p w14:paraId="39FEA1EE" w14:textId="77777777" w:rsidR="00A800E0" w:rsidRDefault="00A800E0">
      <w:pPr>
        <w:spacing w:after="0" w:line="240" w:lineRule="auto"/>
      </w:pPr>
    </w:p>
  </w:footnote>
  <w:footnote w:id="2">
    <w:p w14:paraId="61E3259B" w14:textId="0619E6F4" w:rsidR="00423BFE" w:rsidRDefault="00423BFE" w:rsidP="00423BFE">
      <w:pPr>
        <w:pStyle w:val="FootnoteText"/>
      </w:pPr>
      <w:r>
        <w:rPr>
          <w:rStyle w:val="FootnoteReference"/>
        </w:rPr>
        <w:footnoteRef/>
      </w:r>
      <w:r>
        <w:t xml:space="preserve"> Schmitz, J. M., Stotts, A. L., Sayre, S. L., DeLaune, K. A., &amp; Grabowski, J. (2004). Treatment of cocaine-alcohol dependence with naltrexone and relapse prevention therapy. American Journal of Addictions, 13(4), 333-341. https://doi. org/10.1080/10550490490480982</w:t>
      </w:r>
    </w:p>
  </w:footnote>
  <w:footnote w:id="3">
    <w:p w14:paraId="1ED50D6A" w14:textId="37D2888F" w:rsidR="00423BFE" w:rsidRDefault="00423BFE" w:rsidP="00423BFE">
      <w:pPr>
        <w:pStyle w:val="FootnoteText"/>
      </w:pPr>
      <w:r>
        <w:rPr>
          <w:rStyle w:val="FootnoteReference"/>
        </w:rPr>
        <w:footnoteRef/>
      </w:r>
      <w:r>
        <w:t xml:space="preserve"> Schmitz, J. M., Lindsay, J. A., Green, C. E., Herin, D. V., Stotts, A. L., &amp; Moeller, F. G. (2009). High-dose naltrexone therapy for cocaine-alcohol dependence. American Journal of Addictions, 18(5), 356-362. https://dx.doi.org/10.3109%2F10550490903077929</w:t>
      </w:r>
    </w:p>
  </w:footnote>
  <w:footnote w:id="4">
    <w:p w14:paraId="37C7E62E" w14:textId="513CF617" w:rsidR="00423BFE" w:rsidRDefault="00423BFE" w:rsidP="00423BFE">
      <w:pPr>
        <w:pStyle w:val="FootnoteText"/>
      </w:pPr>
      <w:r>
        <w:rPr>
          <w:rStyle w:val="FootnoteReference"/>
        </w:rPr>
        <w:footnoteRef/>
      </w:r>
      <w:r>
        <w:t xml:space="preserve"> Pettinati, H. M., Kampman, K. M., Lynch, K. G., Xie, H., Dackis, C., Rabinowitz, A. R., &amp; O’Brien, C. P. (2008). A double blind, placebo-controlled trial that combines disulfiram and naltrexone for treating co-occurring cocaine and alcohol dependence. Addictive Behaviors, 33(5), 651-667. https://dx.doi.org/10.1016%2Fj.addbeh.2007.11.011</w:t>
      </w:r>
    </w:p>
  </w:footnote>
  <w:footnote w:id="5">
    <w:p w14:paraId="363D3454" w14:textId="084B174A" w:rsidR="00423BFE" w:rsidRDefault="00423BFE" w:rsidP="00423BFE">
      <w:pPr>
        <w:pStyle w:val="FootnoteText"/>
      </w:pPr>
      <w:r>
        <w:rPr>
          <w:rStyle w:val="FootnoteReference"/>
        </w:rPr>
        <w:footnoteRef/>
      </w:r>
      <w:r>
        <w:t xml:space="preserve"> Schottenfeld, R. S., Chawarski, M. C., Pakes, J.R., Pantalon, M. V., Carroll, K. M., &amp; Kosten, T.R. (2005). Methadone versus buprenorphine with contingency management or performance feedback for cocaine and opioid dependence. American Journal of Psychiatry, 162(2), 340-349. https://doi.org/10.1176/appi.ajp.162.2.340</w:t>
      </w:r>
    </w:p>
  </w:footnote>
  <w:footnote w:id="6">
    <w:p w14:paraId="7490EF36" w14:textId="5C739183" w:rsidR="00423BFE" w:rsidRDefault="00423BFE" w:rsidP="00423BFE">
      <w:pPr>
        <w:pStyle w:val="FootnoteText"/>
      </w:pPr>
      <w:r>
        <w:rPr>
          <w:rStyle w:val="FootnoteReference"/>
        </w:rPr>
        <w:footnoteRef/>
      </w:r>
      <w:r>
        <w:t xml:space="preserve"> Epstein, D. H., Schmittner, J., Umbricht, A., Schroeder, J. R., Moolchan, E. T., &amp; Preston, K.L. (2009). Promoting abstinence from cocaine and heroin with a methadone dose increase and a novel contingency. Drug and Alcohol Dependence, 101(1-2), 92-100. https://dx.doi.org/10.1016%2Fj.drugalcdep.2008.11.006</w:t>
      </w:r>
    </w:p>
  </w:footnote>
  <w:footnote w:id="7">
    <w:p w14:paraId="2B068585" w14:textId="22A4932B" w:rsidR="00423BFE" w:rsidRDefault="00423BFE" w:rsidP="00423BFE">
      <w:pPr>
        <w:pStyle w:val="FootnoteText"/>
      </w:pPr>
      <w:r>
        <w:rPr>
          <w:rStyle w:val="FootnoteReference"/>
        </w:rPr>
        <w:footnoteRef/>
      </w:r>
      <w:r>
        <w:t xml:space="preserve"> Petry, N. M., Alessi, S. M., Hanson, T., &amp; Sierra, S. (2007). Randomized trial of contingent prizes versus vouchers in cocaine-using methadone patients. Journal of Consulting and Clinical Psychology, 75(6), 983-991. https://doi.org/10.1037/0022-006X.75.6.983</w:t>
      </w:r>
    </w:p>
  </w:footnote>
  <w:footnote w:id="8">
    <w:p w14:paraId="2DBC0D8E" w14:textId="7085BCB9" w:rsidR="00423BFE" w:rsidRDefault="00423BFE" w:rsidP="00423BFE">
      <w:pPr>
        <w:pStyle w:val="FootnoteText"/>
      </w:pPr>
      <w:r>
        <w:rPr>
          <w:rStyle w:val="FootnoteReference"/>
        </w:rPr>
        <w:footnoteRef/>
      </w:r>
      <w:r>
        <w:t xml:space="preserve"> Carroll, K. M., Nich, C., Shi, J. M., Eagan, D., &amp; Ball, S. A. (2012). Efficacy of disulfiram and twelve step facilitation in cocaine-dependent individuals maintained on methadone: A randomized placebo controlled trial. Drug and Alcohol Dependence, 126(1-2), 224-231. https://dx.doi.org/10.1016%2Fj.drugalcdep.2012.05.019</w:t>
      </w:r>
    </w:p>
  </w:footnote>
  <w:footnote w:id="9">
    <w:p w14:paraId="7F93E38A" w14:textId="26A86823" w:rsidR="00423BFE" w:rsidRDefault="00423BFE" w:rsidP="00423BFE">
      <w:pPr>
        <w:pStyle w:val="FootnoteText"/>
      </w:pPr>
      <w:r>
        <w:rPr>
          <w:rStyle w:val="FootnoteReference"/>
        </w:rPr>
        <w:footnoteRef/>
      </w:r>
      <w:r>
        <w:t xml:space="preserve"> Hayes, S. C., Wilson, K. G., Gifford, E. V., Bissett, R., Piasecki, M., Batten, S. V., Byrd, M., &amp; Gregg, J. (2004). A preliminary trial of twelve-step facilitation and acceptance and commitment therapy with polysubstance-abusing methadone-maintained opiate addicts. Behavior Therapy, 35(4), 667-688. https://doi.org/10.1016/S0005-7894(04)80014-5</w:t>
      </w:r>
    </w:p>
  </w:footnote>
  <w:footnote w:id="10">
    <w:p w14:paraId="74E1AA2F" w14:textId="77777777" w:rsidR="000E1F29" w:rsidRPr="004F3F35" w:rsidRDefault="000E1F29" w:rsidP="004C1F1A">
      <w:pPr>
        <w:pStyle w:val="FootnoteText"/>
      </w:pPr>
      <w:r w:rsidRPr="004F3F35">
        <w:rPr>
          <w:rStyle w:val="FootnoteReference"/>
        </w:rPr>
        <w:footnoteRef/>
      </w:r>
      <w:r w:rsidRPr="004F3F35">
        <w:t xml:space="preserve"> Substance Abuse and Mental Health Services Administration (2015). </w:t>
      </w:r>
      <w:r w:rsidRPr="004F3F35">
        <w:rPr>
          <w:i/>
        </w:rPr>
        <w:t>Substance Abuse Prevention and Treatment Block Grant.</w:t>
      </w:r>
      <w:r w:rsidRPr="004F3F35">
        <w:t xml:space="preserve"> Retrieved from </w:t>
      </w:r>
      <w:hyperlink r:id="rId1" w:history="1">
        <w:r w:rsidRPr="004F3F35">
          <w:rPr>
            <w:rStyle w:val="Hyperlink"/>
          </w:rPr>
          <w:t>http://www.samhsa.gov/grants/block-grants/sabg</w:t>
        </w:r>
      </w:hyperlink>
    </w:p>
  </w:footnote>
  <w:footnote w:id="11">
    <w:p w14:paraId="6F6EF963" w14:textId="6B44F911" w:rsidR="0001034F" w:rsidRDefault="0001034F" w:rsidP="0001034F">
      <w:pPr>
        <w:pStyle w:val="FootnoteText"/>
      </w:pPr>
      <w:r>
        <w:rPr>
          <w:rStyle w:val="FootnoteReference"/>
        </w:rPr>
        <w:footnoteRef/>
      </w:r>
      <w:r>
        <w:t xml:space="preserve"> National Research Council and Institute of Medicine. (2009). Preventing Mental, Emotional, and Behavioral Disorders Among Young People: Progress and Possibilities. Committee on the Prevention of Mental Disorders and Substance Abuse Among Children, Youth, and Young Adults: Research Advances and Promising Interventions.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38D"/>
    <w:multiLevelType w:val="multilevel"/>
    <w:tmpl w:val="0924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62208"/>
    <w:multiLevelType w:val="multilevel"/>
    <w:tmpl w:val="865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06FB6"/>
    <w:multiLevelType w:val="hybridMultilevel"/>
    <w:tmpl w:val="B314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8022C"/>
    <w:multiLevelType w:val="hybridMultilevel"/>
    <w:tmpl w:val="E6BA2DD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1175DC8"/>
    <w:multiLevelType w:val="hybridMultilevel"/>
    <w:tmpl w:val="0792E270"/>
    <w:lvl w:ilvl="0" w:tplc="04090001">
      <w:start w:val="1"/>
      <w:numFmt w:val="bullet"/>
      <w:lvlText w:val=""/>
      <w:lvlJc w:val="left"/>
      <w:pPr>
        <w:ind w:left="1085"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B28290E4">
      <w:start w:val="1"/>
      <w:numFmt w:val="bullet"/>
      <w:lvlText w:val="o"/>
      <w:lvlJc w:val="left"/>
      <w:pPr>
        <w:ind w:left="19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2DAA3C4">
      <w:start w:val="1"/>
      <w:numFmt w:val="bullet"/>
      <w:lvlText w:val="▪"/>
      <w:lvlJc w:val="left"/>
      <w:pPr>
        <w:ind w:left="269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018A71C">
      <w:start w:val="1"/>
      <w:numFmt w:val="bullet"/>
      <w:lvlText w:val="•"/>
      <w:lvlJc w:val="left"/>
      <w:pPr>
        <w:ind w:left="341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D2A6A7A">
      <w:start w:val="1"/>
      <w:numFmt w:val="bullet"/>
      <w:lvlText w:val="o"/>
      <w:lvlJc w:val="left"/>
      <w:pPr>
        <w:ind w:left="41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A8C0AB0">
      <w:start w:val="1"/>
      <w:numFmt w:val="bullet"/>
      <w:lvlText w:val="▪"/>
      <w:lvlJc w:val="left"/>
      <w:pPr>
        <w:ind w:left="485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26EA79C">
      <w:start w:val="1"/>
      <w:numFmt w:val="bullet"/>
      <w:lvlText w:val="•"/>
      <w:lvlJc w:val="left"/>
      <w:pPr>
        <w:ind w:left="55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C34CC66">
      <w:start w:val="1"/>
      <w:numFmt w:val="bullet"/>
      <w:lvlText w:val="o"/>
      <w:lvlJc w:val="left"/>
      <w:pPr>
        <w:ind w:left="629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876A602">
      <w:start w:val="1"/>
      <w:numFmt w:val="bullet"/>
      <w:lvlText w:val="▪"/>
      <w:lvlJc w:val="left"/>
      <w:pPr>
        <w:ind w:left="701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76230C4"/>
    <w:multiLevelType w:val="hybridMultilevel"/>
    <w:tmpl w:val="F272B0D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9DC50E2"/>
    <w:multiLevelType w:val="hybridMultilevel"/>
    <w:tmpl w:val="DBC26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25732"/>
    <w:multiLevelType w:val="hybridMultilevel"/>
    <w:tmpl w:val="9E2C91C0"/>
    <w:lvl w:ilvl="0" w:tplc="1B6EBFDE">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210B630F"/>
    <w:multiLevelType w:val="multilevel"/>
    <w:tmpl w:val="B5889C9E"/>
    <w:lvl w:ilvl="0">
      <w:start w:val="1"/>
      <w:numFmt w:val="bullet"/>
      <w:lvlText w:val=""/>
      <w:lvlJc w:val="left"/>
      <w:pPr>
        <w:ind w:left="900" w:hanging="360"/>
      </w:pPr>
      <w:rPr>
        <w:rFonts w:ascii="Wingdings" w:hAnsi="Wingdings"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2DE4CDA"/>
    <w:multiLevelType w:val="hybridMultilevel"/>
    <w:tmpl w:val="BA607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A4009"/>
    <w:multiLevelType w:val="multilevel"/>
    <w:tmpl w:val="CC94BFA2"/>
    <w:lvl w:ilvl="0">
      <w:start w:val="1"/>
      <w:numFmt w:val="decimal"/>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3A602783"/>
    <w:multiLevelType w:val="hybridMultilevel"/>
    <w:tmpl w:val="0CE2B184"/>
    <w:lvl w:ilvl="0" w:tplc="37FACD9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477D5C1E"/>
    <w:multiLevelType w:val="hybridMultilevel"/>
    <w:tmpl w:val="6D664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84A79DF"/>
    <w:multiLevelType w:val="hybridMultilevel"/>
    <w:tmpl w:val="7E70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C30D7"/>
    <w:multiLevelType w:val="hybridMultilevel"/>
    <w:tmpl w:val="85C2D4F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322EE2"/>
    <w:multiLevelType w:val="hybridMultilevel"/>
    <w:tmpl w:val="B3182D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974104"/>
    <w:multiLevelType w:val="multilevel"/>
    <w:tmpl w:val="D9CAAF6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E815578"/>
    <w:multiLevelType w:val="hybridMultilevel"/>
    <w:tmpl w:val="388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558DE"/>
    <w:multiLevelType w:val="hybridMultilevel"/>
    <w:tmpl w:val="2BF6C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6C702F"/>
    <w:multiLevelType w:val="multilevel"/>
    <w:tmpl w:val="839689F0"/>
    <w:lvl w:ilvl="0">
      <w:start w:val="1"/>
      <w:numFmt w:val="bullet"/>
      <w:lvlText w:val="o"/>
      <w:lvlJc w:val="left"/>
      <w:pPr>
        <w:ind w:left="90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rFonts w:ascii="Wingdings" w:hAnsi="Wingdings"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71BA4898"/>
    <w:multiLevelType w:val="hybridMultilevel"/>
    <w:tmpl w:val="5E8E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E349E"/>
    <w:multiLevelType w:val="hybridMultilevel"/>
    <w:tmpl w:val="8C66B20A"/>
    <w:lvl w:ilvl="0" w:tplc="0E84647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900964"/>
    <w:multiLevelType w:val="hybridMultilevel"/>
    <w:tmpl w:val="57EA35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num>
  <w:num w:numId="4">
    <w:abstractNumId w:val="14"/>
  </w:num>
  <w:num w:numId="5">
    <w:abstractNumId w:val="6"/>
  </w:num>
  <w:num w:numId="6">
    <w:abstractNumId w:val="17"/>
  </w:num>
  <w:num w:numId="7">
    <w:abstractNumId w:val="15"/>
  </w:num>
  <w:num w:numId="8">
    <w:abstractNumId w:val="8"/>
  </w:num>
  <w:num w:numId="9">
    <w:abstractNumId w:val="19"/>
  </w:num>
  <w:num w:numId="10">
    <w:abstractNumId w:val="16"/>
  </w:num>
  <w:num w:numId="11">
    <w:abstractNumId w:val="13"/>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7"/>
  </w:num>
  <w:num w:numId="17">
    <w:abstractNumId w:val="20"/>
  </w:num>
  <w:num w:numId="18">
    <w:abstractNumId w:val="2"/>
  </w:num>
  <w:num w:numId="19">
    <w:abstractNumId w:val="18"/>
  </w:num>
  <w:num w:numId="20">
    <w:abstractNumId w:val="5"/>
  </w:num>
  <w:num w:numId="21">
    <w:abstractNumId w:val="3"/>
  </w:num>
  <w:num w:numId="22">
    <w:abstractNumId w:val="1"/>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06"/>
    <w:rsid w:val="0001034F"/>
    <w:rsid w:val="00031CB0"/>
    <w:rsid w:val="00033E53"/>
    <w:rsid w:val="00040401"/>
    <w:rsid w:val="0004289E"/>
    <w:rsid w:val="00046A09"/>
    <w:rsid w:val="00046B47"/>
    <w:rsid w:val="0005393F"/>
    <w:rsid w:val="000607E9"/>
    <w:rsid w:val="000641D4"/>
    <w:rsid w:val="000A5A57"/>
    <w:rsid w:val="000B2407"/>
    <w:rsid w:val="000D35EE"/>
    <w:rsid w:val="000D4793"/>
    <w:rsid w:val="000D71B0"/>
    <w:rsid w:val="000E1F29"/>
    <w:rsid w:val="000E558B"/>
    <w:rsid w:val="000F2F88"/>
    <w:rsid w:val="000F5D4C"/>
    <w:rsid w:val="0010171A"/>
    <w:rsid w:val="00107231"/>
    <w:rsid w:val="0011150D"/>
    <w:rsid w:val="0014113D"/>
    <w:rsid w:val="001474EA"/>
    <w:rsid w:val="00173825"/>
    <w:rsid w:val="00174D37"/>
    <w:rsid w:val="0018013D"/>
    <w:rsid w:val="00190B47"/>
    <w:rsid w:val="001A7BC8"/>
    <w:rsid w:val="001D6A47"/>
    <w:rsid w:val="001E251C"/>
    <w:rsid w:val="001E2CD4"/>
    <w:rsid w:val="001E2CEB"/>
    <w:rsid w:val="001E6550"/>
    <w:rsid w:val="001F0DA0"/>
    <w:rsid w:val="001F26AF"/>
    <w:rsid w:val="001F7645"/>
    <w:rsid w:val="00201A9B"/>
    <w:rsid w:val="002038E6"/>
    <w:rsid w:val="002059F3"/>
    <w:rsid w:val="00206A5D"/>
    <w:rsid w:val="00207780"/>
    <w:rsid w:val="0024639C"/>
    <w:rsid w:val="00261C34"/>
    <w:rsid w:val="00263FB6"/>
    <w:rsid w:val="0029210F"/>
    <w:rsid w:val="002A12BD"/>
    <w:rsid w:val="002B54A2"/>
    <w:rsid w:val="002D763F"/>
    <w:rsid w:val="002D7C9A"/>
    <w:rsid w:val="002F3F87"/>
    <w:rsid w:val="00313158"/>
    <w:rsid w:val="00313F05"/>
    <w:rsid w:val="00325FDF"/>
    <w:rsid w:val="00330C77"/>
    <w:rsid w:val="00361334"/>
    <w:rsid w:val="0036222D"/>
    <w:rsid w:val="00370A20"/>
    <w:rsid w:val="003733C4"/>
    <w:rsid w:val="00387576"/>
    <w:rsid w:val="003A4870"/>
    <w:rsid w:val="003B498D"/>
    <w:rsid w:val="003C7F7D"/>
    <w:rsid w:val="003D38AB"/>
    <w:rsid w:val="003F084C"/>
    <w:rsid w:val="003F2706"/>
    <w:rsid w:val="004157F4"/>
    <w:rsid w:val="00423BFE"/>
    <w:rsid w:val="00437B76"/>
    <w:rsid w:val="00443270"/>
    <w:rsid w:val="00460A2D"/>
    <w:rsid w:val="004642B1"/>
    <w:rsid w:val="00471767"/>
    <w:rsid w:val="004866E4"/>
    <w:rsid w:val="004A3D5E"/>
    <w:rsid w:val="004B6F26"/>
    <w:rsid w:val="004C1F1A"/>
    <w:rsid w:val="004D25DE"/>
    <w:rsid w:val="004E0F20"/>
    <w:rsid w:val="004E1F1D"/>
    <w:rsid w:val="004F653F"/>
    <w:rsid w:val="005004B9"/>
    <w:rsid w:val="00535978"/>
    <w:rsid w:val="00536155"/>
    <w:rsid w:val="00542E55"/>
    <w:rsid w:val="00592707"/>
    <w:rsid w:val="00595986"/>
    <w:rsid w:val="005A5A96"/>
    <w:rsid w:val="005B77DA"/>
    <w:rsid w:val="005C299A"/>
    <w:rsid w:val="005E01E4"/>
    <w:rsid w:val="005E1845"/>
    <w:rsid w:val="005E1EA2"/>
    <w:rsid w:val="00615029"/>
    <w:rsid w:val="006160EA"/>
    <w:rsid w:val="00625F79"/>
    <w:rsid w:val="0065183D"/>
    <w:rsid w:val="00665AE9"/>
    <w:rsid w:val="00671FFA"/>
    <w:rsid w:val="006752D0"/>
    <w:rsid w:val="006806E8"/>
    <w:rsid w:val="006B0E96"/>
    <w:rsid w:val="006C0753"/>
    <w:rsid w:val="006D1D11"/>
    <w:rsid w:val="006D3B03"/>
    <w:rsid w:val="006E19C3"/>
    <w:rsid w:val="006F1BE6"/>
    <w:rsid w:val="006F6AF9"/>
    <w:rsid w:val="0070298E"/>
    <w:rsid w:val="00722437"/>
    <w:rsid w:val="00732611"/>
    <w:rsid w:val="00732ACE"/>
    <w:rsid w:val="007347F6"/>
    <w:rsid w:val="007423F7"/>
    <w:rsid w:val="007429AA"/>
    <w:rsid w:val="00746C82"/>
    <w:rsid w:val="00755847"/>
    <w:rsid w:val="0076116B"/>
    <w:rsid w:val="0076475C"/>
    <w:rsid w:val="00773256"/>
    <w:rsid w:val="00776611"/>
    <w:rsid w:val="007853F9"/>
    <w:rsid w:val="00792C0A"/>
    <w:rsid w:val="007A0B81"/>
    <w:rsid w:val="007B33F8"/>
    <w:rsid w:val="007C1E69"/>
    <w:rsid w:val="00801016"/>
    <w:rsid w:val="00806A79"/>
    <w:rsid w:val="008150B3"/>
    <w:rsid w:val="008172A3"/>
    <w:rsid w:val="0085127F"/>
    <w:rsid w:val="00857A37"/>
    <w:rsid w:val="00862D3C"/>
    <w:rsid w:val="00864245"/>
    <w:rsid w:val="00873C0B"/>
    <w:rsid w:val="00882966"/>
    <w:rsid w:val="0089754D"/>
    <w:rsid w:val="008B0BEC"/>
    <w:rsid w:val="008C5251"/>
    <w:rsid w:val="008E27EC"/>
    <w:rsid w:val="008E5F7E"/>
    <w:rsid w:val="008F1E80"/>
    <w:rsid w:val="008F3025"/>
    <w:rsid w:val="00913945"/>
    <w:rsid w:val="00951283"/>
    <w:rsid w:val="009525AD"/>
    <w:rsid w:val="00964FA5"/>
    <w:rsid w:val="00970A3A"/>
    <w:rsid w:val="00990C1B"/>
    <w:rsid w:val="0099265D"/>
    <w:rsid w:val="009933F8"/>
    <w:rsid w:val="009942FD"/>
    <w:rsid w:val="009A533D"/>
    <w:rsid w:val="009B62A9"/>
    <w:rsid w:val="009C6C68"/>
    <w:rsid w:val="009C7548"/>
    <w:rsid w:val="009D7326"/>
    <w:rsid w:val="009F52A4"/>
    <w:rsid w:val="009F75E4"/>
    <w:rsid w:val="00A03433"/>
    <w:rsid w:val="00A043EF"/>
    <w:rsid w:val="00A0512C"/>
    <w:rsid w:val="00A1358F"/>
    <w:rsid w:val="00A26AD5"/>
    <w:rsid w:val="00A348C7"/>
    <w:rsid w:val="00A34F75"/>
    <w:rsid w:val="00A41C1C"/>
    <w:rsid w:val="00A4785C"/>
    <w:rsid w:val="00A47DA2"/>
    <w:rsid w:val="00A53F86"/>
    <w:rsid w:val="00A56E7C"/>
    <w:rsid w:val="00A56F9A"/>
    <w:rsid w:val="00A65DDA"/>
    <w:rsid w:val="00A800E0"/>
    <w:rsid w:val="00A91FE1"/>
    <w:rsid w:val="00A95073"/>
    <w:rsid w:val="00AA721F"/>
    <w:rsid w:val="00AB676C"/>
    <w:rsid w:val="00AD1FE3"/>
    <w:rsid w:val="00B04D5B"/>
    <w:rsid w:val="00B07EE3"/>
    <w:rsid w:val="00B26986"/>
    <w:rsid w:val="00B35B37"/>
    <w:rsid w:val="00B417E1"/>
    <w:rsid w:val="00B42A1E"/>
    <w:rsid w:val="00B43706"/>
    <w:rsid w:val="00B565F2"/>
    <w:rsid w:val="00B635DC"/>
    <w:rsid w:val="00B6565E"/>
    <w:rsid w:val="00B65B78"/>
    <w:rsid w:val="00B717BB"/>
    <w:rsid w:val="00B73EC9"/>
    <w:rsid w:val="00B8535C"/>
    <w:rsid w:val="00B87BDC"/>
    <w:rsid w:val="00BA0093"/>
    <w:rsid w:val="00BA059A"/>
    <w:rsid w:val="00BC507B"/>
    <w:rsid w:val="00BC642D"/>
    <w:rsid w:val="00BC6FCA"/>
    <w:rsid w:val="00BD4512"/>
    <w:rsid w:val="00BF2922"/>
    <w:rsid w:val="00C073EB"/>
    <w:rsid w:val="00C175F2"/>
    <w:rsid w:val="00C22C71"/>
    <w:rsid w:val="00C64823"/>
    <w:rsid w:val="00C6498E"/>
    <w:rsid w:val="00C86148"/>
    <w:rsid w:val="00CB7795"/>
    <w:rsid w:val="00CC6BAB"/>
    <w:rsid w:val="00CD24D1"/>
    <w:rsid w:val="00CE1183"/>
    <w:rsid w:val="00CE3EDF"/>
    <w:rsid w:val="00CE7236"/>
    <w:rsid w:val="00CF79D5"/>
    <w:rsid w:val="00D2279C"/>
    <w:rsid w:val="00D308E6"/>
    <w:rsid w:val="00D31AC2"/>
    <w:rsid w:val="00D3725B"/>
    <w:rsid w:val="00D40DF3"/>
    <w:rsid w:val="00D42B69"/>
    <w:rsid w:val="00D53EF9"/>
    <w:rsid w:val="00D575CB"/>
    <w:rsid w:val="00D60D68"/>
    <w:rsid w:val="00D662D2"/>
    <w:rsid w:val="00D6760E"/>
    <w:rsid w:val="00D70FAC"/>
    <w:rsid w:val="00D716DA"/>
    <w:rsid w:val="00D7302A"/>
    <w:rsid w:val="00D7563D"/>
    <w:rsid w:val="00D84FAA"/>
    <w:rsid w:val="00D84FC7"/>
    <w:rsid w:val="00D87EA1"/>
    <w:rsid w:val="00DA094C"/>
    <w:rsid w:val="00DA5C51"/>
    <w:rsid w:val="00DC2E3C"/>
    <w:rsid w:val="00DC2F38"/>
    <w:rsid w:val="00DD5D05"/>
    <w:rsid w:val="00DD5E23"/>
    <w:rsid w:val="00DF1039"/>
    <w:rsid w:val="00E11DFB"/>
    <w:rsid w:val="00E163A8"/>
    <w:rsid w:val="00E303EC"/>
    <w:rsid w:val="00E340E6"/>
    <w:rsid w:val="00E347E2"/>
    <w:rsid w:val="00E360AC"/>
    <w:rsid w:val="00E4277D"/>
    <w:rsid w:val="00E44EEB"/>
    <w:rsid w:val="00E4736E"/>
    <w:rsid w:val="00E66819"/>
    <w:rsid w:val="00E67B99"/>
    <w:rsid w:val="00E72B40"/>
    <w:rsid w:val="00EA74A3"/>
    <w:rsid w:val="00EE058F"/>
    <w:rsid w:val="00EE16F0"/>
    <w:rsid w:val="00EE1C87"/>
    <w:rsid w:val="00EE3AEE"/>
    <w:rsid w:val="00EF1F6B"/>
    <w:rsid w:val="00EF3730"/>
    <w:rsid w:val="00F1466C"/>
    <w:rsid w:val="00F157D1"/>
    <w:rsid w:val="00F31E10"/>
    <w:rsid w:val="00F36A1A"/>
    <w:rsid w:val="00F36E23"/>
    <w:rsid w:val="00F36FD3"/>
    <w:rsid w:val="00F554C3"/>
    <w:rsid w:val="00F57C11"/>
    <w:rsid w:val="00F60B8B"/>
    <w:rsid w:val="00F70997"/>
    <w:rsid w:val="00F86D44"/>
    <w:rsid w:val="00F90AD9"/>
    <w:rsid w:val="00F926ED"/>
    <w:rsid w:val="00FA3741"/>
    <w:rsid w:val="00FA6D18"/>
    <w:rsid w:val="00FB16EC"/>
    <w:rsid w:val="00FC69F1"/>
    <w:rsid w:val="00FD33C9"/>
    <w:rsid w:val="00FE2F29"/>
    <w:rsid w:val="00FF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2F36"/>
  <w15:chartTrackingRefBased/>
  <w15:docId w15:val="{83EC979D-7CF6-4929-92A5-75B3EF1D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75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C1F1A"/>
    <w:pPr>
      <w:keepNext/>
      <w:keepLines/>
      <w:spacing w:before="40" w:after="0" w:line="276" w:lineRule="auto"/>
      <w:outlineLvl w:val="1"/>
    </w:pPr>
    <w:rPr>
      <w:rFonts w:ascii="Times New Roman" w:eastAsia="Times New Roman" w:hAnsi="Times New Roman"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F2706"/>
    <w:pPr>
      <w:autoSpaceDE w:val="0"/>
      <w:autoSpaceDN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F2706"/>
    <w:pPr>
      <w:ind w:left="720"/>
      <w:contextualSpacing/>
    </w:pPr>
  </w:style>
  <w:style w:type="paragraph" w:styleId="Header">
    <w:name w:val="header"/>
    <w:basedOn w:val="Normal"/>
    <w:link w:val="HeaderChar"/>
    <w:uiPriority w:val="99"/>
    <w:unhideWhenUsed/>
    <w:rsid w:val="00111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50D"/>
  </w:style>
  <w:style w:type="paragraph" w:styleId="Footer">
    <w:name w:val="footer"/>
    <w:basedOn w:val="Normal"/>
    <w:link w:val="FooterChar"/>
    <w:uiPriority w:val="99"/>
    <w:unhideWhenUsed/>
    <w:rsid w:val="00111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50D"/>
  </w:style>
  <w:style w:type="paragraph" w:styleId="BodyText2">
    <w:name w:val="Body Text 2"/>
    <w:basedOn w:val="Normal"/>
    <w:link w:val="BodyText2Char"/>
    <w:uiPriority w:val="99"/>
    <w:unhideWhenUsed/>
    <w:rsid w:val="0036222D"/>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36222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3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158"/>
    <w:rPr>
      <w:rFonts w:ascii="Segoe UI" w:hAnsi="Segoe UI" w:cs="Segoe UI"/>
      <w:sz w:val="18"/>
      <w:szCs w:val="18"/>
    </w:rPr>
  </w:style>
  <w:style w:type="paragraph" w:styleId="PlainText">
    <w:name w:val="Plain Text"/>
    <w:basedOn w:val="Normal"/>
    <w:link w:val="PlainTextChar"/>
    <w:uiPriority w:val="99"/>
    <w:unhideWhenUsed/>
    <w:rsid w:val="00313158"/>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13158"/>
    <w:rPr>
      <w:rFonts w:ascii="Calibri" w:hAnsi="Calibri" w:cs="Calibri"/>
    </w:rPr>
  </w:style>
  <w:style w:type="paragraph" w:styleId="FootnoteText">
    <w:name w:val="footnote text"/>
    <w:basedOn w:val="Normal"/>
    <w:link w:val="FootnoteTextChar"/>
    <w:uiPriority w:val="99"/>
    <w:unhideWhenUsed/>
    <w:rsid w:val="0031315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1315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13158"/>
    <w:rPr>
      <w:color w:val="0563C1" w:themeColor="hyperlink"/>
      <w:u w:val="single"/>
    </w:rPr>
  </w:style>
  <w:style w:type="character" w:styleId="FootnoteReference">
    <w:name w:val="footnote reference"/>
    <w:basedOn w:val="DefaultParagraphFont"/>
    <w:uiPriority w:val="99"/>
    <w:unhideWhenUsed/>
    <w:rsid w:val="00313158"/>
    <w:rPr>
      <w:vertAlign w:val="superscript"/>
    </w:rPr>
  </w:style>
  <w:style w:type="character" w:customStyle="1" w:styleId="Heading2Char">
    <w:name w:val="Heading 2 Char"/>
    <w:basedOn w:val="DefaultParagraphFont"/>
    <w:link w:val="Heading2"/>
    <w:rsid w:val="004C1F1A"/>
    <w:rPr>
      <w:rFonts w:ascii="Times New Roman" w:eastAsia="Times New Roman" w:hAnsi="Times New Roman" w:cs="Times New Roman"/>
      <w:b/>
      <w:sz w:val="24"/>
      <w:szCs w:val="26"/>
    </w:rPr>
  </w:style>
  <w:style w:type="paragraph" w:styleId="EndnoteText">
    <w:name w:val="endnote text"/>
    <w:basedOn w:val="Normal"/>
    <w:link w:val="EndnoteTextChar"/>
    <w:uiPriority w:val="99"/>
    <w:semiHidden/>
    <w:unhideWhenUsed/>
    <w:rsid w:val="008975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754D"/>
    <w:rPr>
      <w:sz w:val="20"/>
      <w:szCs w:val="20"/>
    </w:rPr>
  </w:style>
  <w:style w:type="character" w:styleId="EndnoteReference">
    <w:name w:val="endnote reference"/>
    <w:basedOn w:val="DefaultParagraphFont"/>
    <w:uiPriority w:val="99"/>
    <w:unhideWhenUsed/>
    <w:rsid w:val="0089754D"/>
    <w:rPr>
      <w:vertAlign w:val="superscript"/>
    </w:rPr>
  </w:style>
  <w:style w:type="character" w:customStyle="1" w:styleId="UnresolvedMention1">
    <w:name w:val="Unresolved Mention1"/>
    <w:basedOn w:val="DefaultParagraphFont"/>
    <w:uiPriority w:val="99"/>
    <w:semiHidden/>
    <w:unhideWhenUsed/>
    <w:rsid w:val="0089754D"/>
    <w:rPr>
      <w:color w:val="605E5C"/>
      <w:shd w:val="clear" w:color="auto" w:fill="E1DFDD"/>
    </w:rPr>
  </w:style>
  <w:style w:type="paragraph" w:styleId="NoSpacing">
    <w:name w:val="No Spacing"/>
    <w:basedOn w:val="Normal"/>
    <w:uiPriority w:val="1"/>
    <w:qFormat/>
    <w:rsid w:val="008E5F7E"/>
    <w:pPr>
      <w:spacing w:after="0" w:line="240" w:lineRule="auto"/>
    </w:pPr>
    <w:rPr>
      <w:rFonts w:ascii="Calibri" w:hAnsi="Calibri" w:cs="Calibri"/>
    </w:rPr>
  </w:style>
  <w:style w:type="paragraph" w:customStyle="1" w:styleId="paragraph">
    <w:name w:val="paragraph"/>
    <w:basedOn w:val="Normal"/>
    <w:rsid w:val="008E5F7E"/>
    <w:pPr>
      <w:spacing w:after="0" w:line="240" w:lineRule="auto"/>
    </w:pPr>
    <w:rPr>
      <w:rFonts w:ascii="Times New Roman" w:hAnsi="Times New Roman" w:cs="Times New Roman"/>
      <w:sz w:val="24"/>
      <w:szCs w:val="24"/>
    </w:rPr>
  </w:style>
  <w:style w:type="character" w:customStyle="1" w:styleId="normaltextrun1">
    <w:name w:val="normaltextrun1"/>
    <w:basedOn w:val="DefaultParagraphFont"/>
    <w:rsid w:val="008E5F7E"/>
  </w:style>
  <w:style w:type="character" w:styleId="CommentReference">
    <w:name w:val="annotation reference"/>
    <w:basedOn w:val="DefaultParagraphFont"/>
    <w:uiPriority w:val="99"/>
    <w:semiHidden/>
    <w:unhideWhenUsed/>
    <w:rsid w:val="00A91FE1"/>
    <w:rPr>
      <w:sz w:val="16"/>
      <w:szCs w:val="16"/>
    </w:rPr>
  </w:style>
  <w:style w:type="paragraph" w:styleId="CommentText">
    <w:name w:val="annotation text"/>
    <w:basedOn w:val="Normal"/>
    <w:link w:val="CommentTextChar"/>
    <w:uiPriority w:val="99"/>
    <w:unhideWhenUsed/>
    <w:rsid w:val="00A91FE1"/>
    <w:pPr>
      <w:spacing w:line="240" w:lineRule="auto"/>
    </w:pPr>
    <w:rPr>
      <w:sz w:val="20"/>
      <w:szCs w:val="20"/>
    </w:rPr>
  </w:style>
  <w:style w:type="character" w:customStyle="1" w:styleId="CommentTextChar">
    <w:name w:val="Comment Text Char"/>
    <w:basedOn w:val="DefaultParagraphFont"/>
    <w:link w:val="CommentText"/>
    <w:uiPriority w:val="99"/>
    <w:rsid w:val="00A91FE1"/>
    <w:rPr>
      <w:sz w:val="20"/>
      <w:szCs w:val="20"/>
    </w:rPr>
  </w:style>
  <w:style w:type="paragraph" w:styleId="CommentSubject">
    <w:name w:val="annotation subject"/>
    <w:basedOn w:val="CommentText"/>
    <w:next w:val="CommentText"/>
    <w:link w:val="CommentSubjectChar"/>
    <w:uiPriority w:val="99"/>
    <w:semiHidden/>
    <w:unhideWhenUsed/>
    <w:rsid w:val="00A91FE1"/>
    <w:rPr>
      <w:b/>
      <w:bCs/>
    </w:rPr>
  </w:style>
  <w:style w:type="character" w:customStyle="1" w:styleId="CommentSubjectChar">
    <w:name w:val="Comment Subject Char"/>
    <w:basedOn w:val="CommentTextChar"/>
    <w:link w:val="CommentSubject"/>
    <w:uiPriority w:val="99"/>
    <w:semiHidden/>
    <w:rsid w:val="00A91FE1"/>
    <w:rPr>
      <w:b/>
      <w:bCs/>
      <w:sz w:val="20"/>
      <w:szCs w:val="20"/>
    </w:rPr>
  </w:style>
  <w:style w:type="character" w:customStyle="1" w:styleId="UnresolvedMention2">
    <w:name w:val="Unresolved Mention2"/>
    <w:basedOn w:val="DefaultParagraphFont"/>
    <w:uiPriority w:val="99"/>
    <w:semiHidden/>
    <w:unhideWhenUsed/>
    <w:rsid w:val="003733C4"/>
    <w:rPr>
      <w:color w:val="605E5C"/>
      <w:shd w:val="clear" w:color="auto" w:fill="E1DFDD"/>
    </w:rPr>
  </w:style>
  <w:style w:type="paragraph" w:styleId="Revision">
    <w:name w:val="Revision"/>
    <w:hidden/>
    <w:uiPriority w:val="99"/>
    <w:semiHidden/>
    <w:rsid w:val="00A56E7C"/>
    <w:pPr>
      <w:spacing w:after="0" w:line="240" w:lineRule="auto"/>
    </w:pPr>
  </w:style>
  <w:style w:type="character" w:styleId="FollowedHyperlink">
    <w:name w:val="FollowedHyperlink"/>
    <w:basedOn w:val="DefaultParagraphFont"/>
    <w:uiPriority w:val="99"/>
    <w:semiHidden/>
    <w:unhideWhenUsed/>
    <w:rsid w:val="00A043EF"/>
    <w:rPr>
      <w:color w:val="954F72" w:themeColor="followedHyperlink"/>
      <w:u w:val="single"/>
    </w:rPr>
  </w:style>
  <w:style w:type="character" w:customStyle="1" w:styleId="UnresolvedMention3">
    <w:name w:val="Unresolved Mention3"/>
    <w:basedOn w:val="DefaultParagraphFont"/>
    <w:uiPriority w:val="99"/>
    <w:semiHidden/>
    <w:unhideWhenUsed/>
    <w:rsid w:val="009F75E4"/>
    <w:rPr>
      <w:color w:val="605E5C"/>
      <w:shd w:val="clear" w:color="auto" w:fill="E1DFDD"/>
    </w:rPr>
  </w:style>
  <w:style w:type="character" w:customStyle="1" w:styleId="Heading1Char">
    <w:name w:val="Heading 1 Char"/>
    <w:basedOn w:val="DefaultParagraphFont"/>
    <w:link w:val="Heading1"/>
    <w:uiPriority w:val="9"/>
    <w:rsid w:val="009F75E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84FC7"/>
    <w:rPr>
      <w:b/>
      <w:bCs/>
    </w:rPr>
  </w:style>
  <w:style w:type="character" w:styleId="Emphasis">
    <w:name w:val="Emphasis"/>
    <w:basedOn w:val="DefaultParagraphFont"/>
    <w:uiPriority w:val="20"/>
    <w:qFormat/>
    <w:rsid w:val="00D84FC7"/>
    <w:rPr>
      <w:i/>
      <w:iCs/>
    </w:rPr>
  </w:style>
  <w:style w:type="character" w:customStyle="1" w:styleId="UnresolvedMention30">
    <w:name w:val="Unresolved Mention3"/>
    <w:basedOn w:val="DefaultParagraphFont"/>
    <w:uiPriority w:val="99"/>
    <w:semiHidden/>
    <w:unhideWhenUsed/>
    <w:rsid w:val="00E34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492">
      <w:bodyDiv w:val="1"/>
      <w:marLeft w:val="0"/>
      <w:marRight w:val="0"/>
      <w:marTop w:val="0"/>
      <w:marBottom w:val="0"/>
      <w:divBdr>
        <w:top w:val="none" w:sz="0" w:space="0" w:color="auto"/>
        <w:left w:val="none" w:sz="0" w:space="0" w:color="auto"/>
        <w:bottom w:val="none" w:sz="0" w:space="0" w:color="auto"/>
        <w:right w:val="none" w:sz="0" w:space="0" w:color="auto"/>
      </w:divBdr>
    </w:div>
    <w:div w:id="742025469">
      <w:bodyDiv w:val="1"/>
      <w:marLeft w:val="0"/>
      <w:marRight w:val="0"/>
      <w:marTop w:val="0"/>
      <w:marBottom w:val="0"/>
      <w:divBdr>
        <w:top w:val="none" w:sz="0" w:space="0" w:color="auto"/>
        <w:left w:val="none" w:sz="0" w:space="0" w:color="auto"/>
        <w:bottom w:val="none" w:sz="0" w:space="0" w:color="auto"/>
        <w:right w:val="none" w:sz="0" w:space="0" w:color="auto"/>
      </w:divBdr>
    </w:div>
    <w:div w:id="1050031934">
      <w:bodyDiv w:val="1"/>
      <w:marLeft w:val="0"/>
      <w:marRight w:val="0"/>
      <w:marTop w:val="0"/>
      <w:marBottom w:val="0"/>
      <w:divBdr>
        <w:top w:val="none" w:sz="0" w:space="0" w:color="auto"/>
        <w:left w:val="none" w:sz="0" w:space="0" w:color="auto"/>
        <w:bottom w:val="none" w:sz="0" w:space="0" w:color="auto"/>
        <w:right w:val="none" w:sz="0" w:space="0" w:color="auto"/>
      </w:divBdr>
    </w:div>
    <w:div w:id="1367875854">
      <w:bodyDiv w:val="1"/>
      <w:marLeft w:val="0"/>
      <w:marRight w:val="0"/>
      <w:marTop w:val="0"/>
      <w:marBottom w:val="0"/>
      <w:divBdr>
        <w:top w:val="none" w:sz="0" w:space="0" w:color="auto"/>
        <w:left w:val="none" w:sz="0" w:space="0" w:color="auto"/>
        <w:bottom w:val="none" w:sz="0" w:space="0" w:color="auto"/>
        <w:right w:val="none" w:sz="0" w:space="0" w:color="auto"/>
      </w:divBdr>
    </w:div>
    <w:div w:id="1511404980">
      <w:bodyDiv w:val="1"/>
      <w:marLeft w:val="0"/>
      <w:marRight w:val="0"/>
      <w:marTop w:val="0"/>
      <w:marBottom w:val="0"/>
      <w:divBdr>
        <w:top w:val="none" w:sz="0" w:space="0" w:color="auto"/>
        <w:left w:val="none" w:sz="0" w:space="0" w:color="auto"/>
        <w:bottom w:val="none" w:sz="0" w:space="0" w:color="auto"/>
        <w:right w:val="none" w:sz="0" w:space="0" w:color="auto"/>
      </w:divBdr>
    </w:div>
    <w:div w:id="1517117556">
      <w:bodyDiv w:val="1"/>
      <w:marLeft w:val="0"/>
      <w:marRight w:val="0"/>
      <w:marTop w:val="0"/>
      <w:marBottom w:val="0"/>
      <w:divBdr>
        <w:top w:val="none" w:sz="0" w:space="0" w:color="auto"/>
        <w:left w:val="none" w:sz="0" w:space="0" w:color="auto"/>
        <w:bottom w:val="none" w:sz="0" w:space="0" w:color="auto"/>
        <w:right w:val="none" w:sz="0" w:space="0" w:color="auto"/>
      </w:divBdr>
    </w:div>
    <w:div w:id="1678919977">
      <w:bodyDiv w:val="1"/>
      <w:marLeft w:val="0"/>
      <w:marRight w:val="0"/>
      <w:marTop w:val="0"/>
      <w:marBottom w:val="0"/>
      <w:divBdr>
        <w:top w:val="none" w:sz="0" w:space="0" w:color="auto"/>
        <w:left w:val="none" w:sz="0" w:space="0" w:color="auto"/>
        <w:bottom w:val="none" w:sz="0" w:space="0" w:color="auto"/>
        <w:right w:val="none" w:sz="0" w:space="0" w:color="auto"/>
      </w:divBdr>
    </w:div>
    <w:div w:id="1857034208">
      <w:bodyDiv w:val="1"/>
      <w:marLeft w:val="0"/>
      <w:marRight w:val="0"/>
      <w:marTop w:val="0"/>
      <w:marBottom w:val="0"/>
      <w:divBdr>
        <w:top w:val="none" w:sz="0" w:space="0" w:color="auto"/>
        <w:left w:val="none" w:sz="0" w:space="0" w:color="auto"/>
        <w:bottom w:val="none" w:sz="0" w:space="0" w:color="auto"/>
        <w:right w:val="none" w:sz="0" w:space="0" w:color="auto"/>
      </w:divBdr>
    </w:div>
    <w:div w:id="1951429932">
      <w:bodyDiv w:val="1"/>
      <w:marLeft w:val="0"/>
      <w:marRight w:val="0"/>
      <w:marTop w:val="0"/>
      <w:marBottom w:val="0"/>
      <w:divBdr>
        <w:top w:val="none" w:sz="0" w:space="0" w:color="auto"/>
        <w:left w:val="none" w:sz="0" w:space="0" w:color="auto"/>
        <w:bottom w:val="none" w:sz="0" w:space="0" w:color="auto"/>
        <w:right w:val="none" w:sz="0" w:space="0" w:color="auto"/>
      </w:divBdr>
    </w:div>
    <w:div w:id="2061250215">
      <w:bodyDiv w:val="1"/>
      <w:marLeft w:val="0"/>
      <w:marRight w:val="0"/>
      <w:marTop w:val="0"/>
      <w:marBottom w:val="0"/>
      <w:divBdr>
        <w:top w:val="none" w:sz="0" w:space="0" w:color="auto"/>
        <w:left w:val="none" w:sz="0" w:space="0" w:color="auto"/>
        <w:bottom w:val="none" w:sz="0" w:space="0" w:color="auto"/>
        <w:right w:val="none" w:sz="0" w:space="0" w:color="auto"/>
      </w:divBdr>
    </w:div>
    <w:div w:id="20965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erRecoveryNow.org" TargetMode="External"/><Relationship Id="rId18" Type="http://schemas.openxmlformats.org/officeDocument/2006/relationships/hyperlink" Target="https://www.samhsa.gov/medication-assisted-treatment/practitioner-program-data/treatment-practitioner-locat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1002/hbe2.148" TargetMode="External"/><Relationship Id="rId17" Type="http://schemas.openxmlformats.org/officeDocument/2006/relationships/hyperlink" Target="https://findtreatment.gov/" TargetMode="External"/><Relationship Id="rId2" Type="http://schemas.openxmlformats.org/officeDocument/2006/relationships/customXml" Target="../customXml/item2.xml"/><Relationship Id="rId16" Type="http://schemas.openxmlformats.org/officeDocument/2006/relationships/hyperlink" Target="https://www.samhsa.gov/resource/ebp/recovery-housing-best-practices-suggested-guid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tarr.arg.org" TargetMode="External"/><Relationship Id="rId5" Type="http://schemas.openxmlformats.org/officeDocument/2006/relationships/numbering" Target="numbering.xml"/><Relationship Id="rId15" Type="http://schemas.openxmlformats.org/officeDocument/2006/relationships/hyperlink" Target="https://ccar.us/" TargetMode="External"/><Relationship Id="rId10" Type="http://schemas.openxmlformats.org/officeDocument/2006/relationships/endnotes" Target="endnotes.xml"/><Relationship Id="rId19" Type="http://schemas.openxmlformats.org/officeDocument/2006/relationships/hyperlink" Target="https://dpt2.samhsa.gov/treat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esandvoicesofrecovery.org/about/who-we-are/funder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amhsa.gov/grants/block-grants/s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E649B51A90046BA6F03286A9C9174" ma:contentTypeVersion="10" ma:contentTypeDescription="Create a new document." ma:contentTypeScope="" ma:versionID="6b44b93d398350e9210e0a5c54c1042d">
  <xsd:schema xmlns:xsd="http://www.w3.org/2001/XMLSchema" xmlns:xs="http://www.w3.org/2001/XMLSchema" xmlns:p="http://schemas.microsoft.com/office/2006/metadata/properties" xmlns:ns1="http://schemas.microsoft.com/sharepoint/v3" xmlns:ns3="2b7480a6-370c-42b2-86ec-7b867bf93e85" targetNamespace="http://schemas.microsoft.com/office/2006/metadata/properties" ma:root="true" ma:fieldsID="2903fbbb947fff0d5e4fbf4fe1dedc9e" ns1:_="" ns3:_="">
    <xsd:import namespace="http://schemas.microsoft.com/sharepoint/v3"/>
    <xsd:import namespace="2b7480a6-370c-42b2-86ec-7b867bf93e8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480a6-370c-42b2-86ec-7b867bf93e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A7E3-4217-4AE5-A665-8ED30CF16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7480a6-370c-42b2-86ec-7b867bf93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EB8F8-C34F-41AC-AD6C-2BD2545907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6C69B60-D65D-47BB-83FC-F93A04DE5BD0}">
  <ds:schemaRefs>
    <ds:schemaRef ds:uri="http://schemas.microsoft.com/sharepoint/v3/contenttype/forms"/>
  </ds:schemaRefs>
</ds:datastoreItem>
</file>

<file path=customXml/itemProps4.xml><?xml version="1.0" encoding="utf-8"?>
<ds:datastoreItem xmlns:ds="http://schemas.openxmlformats.org/officeDocument/2006/customXml" ds:itemID="{5B01F1D0-6258-410F-8F1F-C641365D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Meena (SAMHSA/CSAT)</dc:creator>
  <cp:keywords/>
  <dc:description/>
  <cp:lastModifiedBy>Mullman, Lauren (HHS/ASL)</cp:lastModifiedBy>
  <cp:revision>5</cp:revision>
  <dcterms:created xsi:type="dcterms:W3CDTF">2021-10-07T16:30:00Z</dcterms:created>
  <dcterms:modified xsi:type="dcterms:W3CDTF">2021-10-07T17:14:00Z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0x0101006CBE649B51A90046BA6F03286A9C9174</vt:lpwstr>
  </property>
</Properties>
</file>